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400"/>
              <w:left w:type="dxa" w:w="480"/>
              <w:bottom w:type="dxa" w:w="200"/>
              <w:right w:type="dxa" w:w="480"/>
            </w:tcMar>
          </w:tcPr>
          <w:p>
            <w:r>
              <w:rPr>
                <w:rFonts w:ascii="Arial" w:cs="Arial" w:eastAsia="Arial" w:hAnsi="Arial"/>
                <w:b/>
                <w:bCs/>
                <w:color w:val="7FB3D3"/>
                <w:sz w:val="20"/>
                <w:szCs w:val="20"/>
              </w:rPr>
              <w:t xml:space="preserve">CADIENT MAINTENANCE FEATURES  ·  MODULE 03 OF 03</w:t>
            </w:r>
          </w:p>
          <w:p>
            <w:pPr>
              <w:spacing w:before="100" w:after="80"/>
            </w:pPr>
            <w:r>
              <w:rPr>
                <w:rFonts w:ascii="Arial" w:cs="Arial" w:eastAsia="Arial" w:hAnsi="Arial"/>
                <w:b/>
                <w:bCs/>
                <w:color w:val="FFFFFF"/>
                <w:sz w:val="52"/>
                <w:szCs w:val="52"/>
              </w:rPr>
              <w:t xml:space="preserve">Overage Fee</w:t>
            </w:r>
          </w:p>
          <w:p>
            <w:pPr>
              <w:spacing w:before="0" w:after="300"/>
            </w:pPr>
            <w:r>
              <w:rPr>
                <w:rFonts w:ascii="Arial" w:cs="Arial" w:eastAsia="Arial" w:hAnsi="Arial"/>
                <w:color w:val="B8D4EC"/>
                <w:sz w:val="23"/>
                <w:szCs w:val="23"/>
              </w:rPr>
              <w:t xml:space="preserve">Understanding usage thresholds, what triggers overage charges, and how to keep costs under control</w:t>
            </w:r>
          </w:p>
        </w:tc>
      </w:tr>
    </w:tbl>
    <w:p>
      <w:pPr>
        <w:spacing w:before="0" w:after="160"/>
      </w:pPr>
      <w:r>
        <w:t xml:space="preserve"/>
      </w:r>
    </w:p>
    <w:p>
      <w:pPr>
        <w:pBdr>
          <w:bottom w:val="single" w:color="8B3A1D" w:sz="6"/>
        </w:pBdr>
        <w:spacing w:before="240" w:after="160"/>
      </w:pPr>
      <w:r>
        <w:rPr>
          <w:rFonts w:ascii="Arial" w:cs="Arial" w:eastAsia="Arial" w:hAnsi="Arial"/>
          <w:b/>
          <w:bCs/>
          <w:color w:val="1B3A5C"/>
          <w:sz w:val="28"/>
          <w:szCs w:val="28"/>
        </w:rPr>
        <w:t xml:space="preserve">What Is the Overage Fee?</w:t>
      </w:r>
    </w:p>
    <w:p>
      <w:pPr>
        <w:spacing w:before="60" w:after="140"/>
        <w:jc w:val="left"/>
      </w:pPr>
      <w:r>
        <w:rPr>
          <w:rFonts w:ascii="Arial" w:cs="Arial" w:eastAsia="Arial" w:hAnsi="Arial"/>
          <w:b w:val="false"/>
          <w:bCs w:val="false"/>
          <w:color w:val="1A1A2E"/>
          <w:sz w:val="22"/>
          <w:szCs w:val="22"/>
        </w:rPr>
        <w:t xml:space="preserve">The Overage Fee is a variable surcharge that activates when an organization’s actual consumption of Cadient SmartSuite™ resources exceeds the usage thresholds defined in their service agreement. Every Cadient contract specifies baseline usage limits covering dimensions such as active requisitions, assessed candidates, texting credits, and API calls. When real-world usage outpaces these limits, overage charges are calculated and billed.</w:t>
      </w:r>
    </w:p>
    <w:p>
      <w:pPr>
        <w:spacing w:before="60" w:after="180"/>
        <w:jc w:val="left"/>
      </w:pPr>
      <w:r>
        <w:rPr>
          <w:rFonts w:ascii="Arial" w:cs="Arial" w:eastAsia="Arial" w:hAnsi="Arial"/>
          <w:b w:val="false"/>
          <w:bCs w:val="false"/>
          <w:color w:val="1A1A2E"/>
          <w:sz w:val="22"/>
          <w:szCs w:val="22"/>
        </w:rPr>
        <w:t xml:space="preserve">Overage Fees are the most unpredictable cost category in the Cadient maintenance structure because they are directly tied to operational activity. A seasonal hiring spike, a new market expansion, or an increase in candidate texting volume can each trigger charges that were not anticipated in the annual budget. Proactive monitoring and threshold management are the most effective defenses against unexpected overage bills.</w:t>
      </w:r>
    </w:p>
    <w:p>
      <w:pPr>
        <w:pBdr>
          <w:bottom w:val="single" w:color="8B3A1D" w:sz="6"/>
        </w:pBdr>
        <w:spacing w:before="240" w:after="160"/>
      </w:pPr>
      <w:r>
        <w:rPr>
          <w:rFonts w:ascii="Arial" w:cs="Arial" w:eastAsia="Arial" w:hAnsi="Arial"/>
          <w:b/>
          <w:bCs/>
          <w:color w:val="1B3A5C"/>
          <w:sz w:val="28"/>
          <w:szCs w:val="28"/>
        </w:rPr>
        <w:t xml:space="preserve">How Overage Fees Are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60"/>
        <w:gridCol w:w="3400"/>
      </w:tblGrid>
      <w:tr>
        <w:tc>
          <w:tcPr>
            <w:tcW w:type="dxa" w:w="2700"/>
            <w:tcBorders>
              <w:top w:val="single" w:color="D4B8AE" w:sz="1"/>
              <w:left w:val="single" w:color="D4B8AE" w:sz="1"/>
              <w:bottom w:val="single" w:color="D4B8AE" w:sz="1"/>
              <w:right w:val="single" w:color="D4B8AE"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Metric</w:t>
            </w:r>
          </w:p>
        </w:tc>
        <w:tc>
          <w:tcPr>
            <w:tcW w:type="dxa" w:w="3260"/>
            <w:tcBorders>
              <w:top w:val="single" w:color="D4B8AE" w:sz="1"/>
              <w:left w:val="single" w:color="D4B8AE" w:sz="1"/>
              <w:bottom w:val="single" w:color="D4B8AE" w:sz="1"/>
              <w:right w:val="single" w:color="D4B8AE"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Contracted Baseline (Example)</w:t>
            </w:r>
          </w:p>
        </w:tc>
        <w:tc>
          <w:tcPr>
            <w:tcW w:type="dxa" w:w="3400"/>
            <w:tcBorders>
              <w:top w:val="single" w:color="D4B8AE" w:sz="1"/>
              <w:left w:val="single" w:color="D4B8AE" w:sz="1"/>
              <w:bottom w:val="single" w:color="D4B8AE" w:sz="1"/>
              <w:right w:val="single" w:color="D4B8AE"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Overage Rate Applied</w:t>
            </w:r>
          </w:p>
        </w:tc>
      </w:tr>
      <w:tr>
        <w:tc>
          <w:tcPr>
            <w:tcW w:type="dxa" w:w="270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bCs/>
                <w:color w:val="1A1A2E"/>
                <w:sz w:val="20"/>
                <w:szCs w:val="20"/>
              </w:rPr>
              <w:t xml:space="preserve">Active Job Requisitions</w:t>
            </w:r>
          </w:p>
        </w:tc>
        <w:tc>
          <w:tcPr>
            <w:tcW w:type="dxa" w:w="326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Up to 500 concurrent reqs</w:t>
            </w:r>
          </w:p>
        </w:tc>
        <w:tc>
          <w:tcPr>
            <w:tcW w:type="dxa" w:w="340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Per req per month above limit</w:t>
            </w:r>
          </w:p>
        </w:tc>
      </w:tr>
      <w:tr>
        <w:tc>
          <w:tcPr>
            <w:tcW w:type="dxa" w:w="270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bCs/>
                <w:color w:val="1A1A2E"/>
                <w:sz w:val="20"/>
                <w:szCs w:val="20"/>
              </w:rPr>
              <w:t xml:space="preserve">Candidate Assessments</w:t>
            </w:r>
          </w:p>
        </w:tc>
        <w:tc>
          <w:tcPr>
            <w:tcW w:type="dxa" w:w="326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Up to 10,000 scored profiles per month</w:t>
            </w:r>
          </w:p>
        </w:tc>
        <w:tc>
          <w:tcPr>
            <w:tcW w:type="dxa" w:w="340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Per 100 additional assessments</w:t>
            </w:r>
          </w:p>
        </w:tc>
      </w:tr>
      <w:tr>
        <w:tc>
          <w:tcPr>
            <w:tcW w:type="dxa" w:w="270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bCs/>
                <w:color w:val="1A1A2E"/>
                <w:sz w:val="20"/>
                <w:szCs w:val="20"/>
              </w:rPr>
              <w:t xml:space="preserve">SmartTexting™ Credits</w:t>
            </w:r>
          </w:p>
        </w:tc>
        <w:tc>
          <w:tcPr>
            <w:tcW w:type="dxa" w:w="326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Up to 5,000 SMS sends per month</w:t>
            </w:r>
          </w:p>
        </w:tc>
        <w:tc>
          <w:tcPr>
            <w:tcW w:type="dxa" w:w="340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Per 100 messages above limit</w:t>
            </w:r>
          </w:p>
        </w:tc>
      </w:tr>
      <w:tr>
        <w:tc>
          <w:tcPr>
            <w:tcW w:type="dxa" w:w="270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bCs/>
                <w:color w:val="1A1A2E"/>
                <w:sz w:val="20"/>
                <w:szCs w:val="20"/>
              </w:rPr>
              <w:t xml:space="preserve">API Call Volume</w:t>
            </w:r>
          </w:p>
        </w:tc>
        <w:tc>
          <w:tcPr>
            <w:tcW w:type="dxa" w:w="326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Up to 50,000 calls per month</w:t>
            </w:r>
          </w:p>
        </w:tc>
        <w:tc>
          <w:tcPr>
            <w:tcW w:type="dxa" w:w="340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Per 1,000 calls above limit</w:t>
            </w:r>
          </w:p>
        </w:tc>
      </w:tr>
      <w:tr>
        <w:tc>
          <w:tcPr>
            <w:tcW w:type="dxa" w:w="270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bCs/>
                <w:color w:val="1A1A2E"/>
                <w:sz w:val="20"/>
                <w:szCs w:val="20"/>
              </w:rPr>
              <w:t xml:space="preserve">User Seat Licenses</w:t>
            </w:r>
          </w:p>
        </w:tc>
        <w:tc>
          <w:tcPr>
            <w:tcW w:type="dxa" w:w="326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Up to 50 named users</w:t>
            </w:r>
          </w:p>
        </w:tc>
        <w:tc>
          <w:tcPr>
            <w:tcW w:type="dxa" w:w="340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Per additional user per month</w:t>
            </w:r>
          </w:p>
        </w:tc>
      </w:tr>
      <w:tr>
        <w:tc>
          <w:tcPr>
            <w:tcW w:type="dxa" w:w="270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bCs/>
                <w:color w:val="1A1A2E"/>
                <w:sz w:val="20"/>
                <w:szCs w:val="20"/>
              </w:rPr>
              <w:t xml:space="preserve">Data Storage</w:t>
            </w:r>
          </w:p>
        </w:tc>
        <w:tc>
          <w:tcPr>
            <w:tcW w:type="dxa" w:w="326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Up to 500 GB of applicant data</w:t>
            </w:r>
          </w:p>
        </w:tc>
        <w:tc>
          <w:tcPr>
            <w:tcW w:type="dxa" w:w="340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Per additional GB per month</w:t>
            </w:r>
          </w:p>
        </w:tc>
      </w:tr>
    </w:tbl>
    <w:p>
      <w:pPr>
        <w:spacing w:before="0" w:after="160"/>
      </w:pPr>
      <w:r>
        <w:t xml:space="preserve"/>
      </w:r>
    </w:p>
    <w:p>
      <w:pPr>
        <w:pBdr>
          <w:bottom w:val="single" w:color="8B3A1D" w:sz="6"/>
        </w:pBdr>
        <w:spacing w:before="240" w:after="160"/>
      </w:pPr>
      <w:r>
        <w:rPr>
          <w:rFonts w:ascii="Arial" w:cs="Arial" w:eastAsia="Arial" w:hAnsi="Arial"/>
          <w:b/>
          <w:bCs/>
          <w:color w:val="1B3A5C"/>
          <w:sz w:val="28"/>
          <w:szCs w:val="28"/>
        </w:rPr>
        <w:t xml:space="preserve">Overage Triggers by SmartSuite™ Module</w:t>
      </w:r>
    </w:p>
    <w:p>
      <w:pPr>
        <w:pStyle w:val="ListParagraph"/>
        <w:numPr>
          <w:ilvl w:val="0"/>
          <w:numId w:val="2"/>
        </w:numPr>
        <w:spacing w:after="100"/>
      </w:pPr>
      <w:r>
        <w:rPr>
          <w:rFonts w:ascii="Arial" w:cs="Arial" w:eastAsia="Arial" w:hAnsi="Arial"/>
          <w:color w:val="1A1A2E"/>
          <w:sz w:val="22"/>
          <w:szCs w:val="22"/>
        </w:rPr>
        <w:t xml:space="preserve">SmartHire™ (ATS): Exceeding the contracted number of concurrent active job requisitions or total applicant records stored in the system</w:t>
      </w:r>
    </w:p>
    <w:p>
      <w:pPr>
        <w:pStyle w:val="ListParagraph"/>
        <w:numPr>
          <w:ilvl w:val="0"/>
          <w:numId w:val="2"/>
        </w:numPr>
        <w:spacing w:after="100"/>
      </w:pPr>
      <w:r>
        <w:rPr>
          <w:rFonts w:ascii="Arial" w:cs="Arial" w:eastAsia="Arial" w:hAnsi="Arial"/>
          <w:color w:val="1A1A2E"/>
          <w:sz w:val="22"/>
          <w:szCs w:val="22"/>
        </w:rPr>
        <w:t xml:space="preserve">SmartTexting™: Surpassing the monthly SMS credit allotment used for candidate outreach, interview reminders, and automated status notifications</w:t>
      </w:r>
    </w:p>
    <w:p>
      <w:pPr>
        <w:pStyle w:val="ListParagraph"/>
        <w:numPr>
          <w:ilvl w:val="0"/>
          <w:numId w:val="2"/>
        </w:numPr>
        <w:spacing w:after="100"/>
      </w:pPr>
      <w:r>
        <w:rPr>
          <w:rFonts w:ascii="Arial" w:cs="Arial" w:eastAsia="Arial" w:hAnsi="Arial"/>
          <w:color w:val="1A1A2E"/>
          <w:sz w:val="22"/>
          <w:szCs w:val="22"/>
        </w:rPr>
        <w:t xml:space="preserve">SmartScreen™ &amp; SmartMatch™: Going beyond the contracted number of AI-scored pre-screening assessments or ranked candidate profiles per billing period</w:t>
      </w:r>
    </w:p>
    <w:p>
      <w:pPr>
        <w:pStyle w:val="ListParagraph"/>
        <w:numPr>
          <w:ilvl w:val="0"/>
          <w:numId w:val="2"/>
        </w:numPr>
        <w:spacing w:after="100"/>
      </w:pPr>
      <w:r>
        <w:rPr>
          <w:rFonts w:ascii="Arial" w:cs="Arial" w:eastAsia="Arial" w:hAnsi="Arial"/>
          <w:color w:val="1A1A2E"/>
          <w:sz w:val="22"/>
          <w:szCs w:val="22"/>
        </w:rPr>
        <w:t xml:space="preserve">SmartSource™: Exceeding job board posting credits, sponsored listing budgets, or talent database search volumes included in the contract</w:t>
      </w:r>
    </w:p>
    <w:p>
      <w:pPr>
        <w:pStyle w:val="ListParagraph"/>
        <w:numPr>
          <w:ilvl w:val="0"/>
          <w:numId w:val="2"/>
        </w:numPr>
        <w:spacing w:after="100"/>
      </w:pPr>
      <w:r>
        <w:rPr>
          <w:rFonts w:ascii="Arial" w:cs="Arial" w:eastAsia="Arial" w:hAnsi="Arial"/>
          <w:color w:val="1A1A2E"/>
          <w:sz w:val="22"/>
          <w:szCs w:val="22"/>
        </w:rPr>
        <w:t xml:space="preserve">SmartScore™: Generating more composite score calculations than the contracted monthly volume allows</w:t>
      </w:r>
    </w:p>
    <w:p>
      <w:pPr>
        <w:pStyle w:val="ListParagraph"/>
        <w:numPr>
          <w:ilvl w:val="0"/>
          <w:numId w:val="2"/>
        </w:numPr>
        <w:spacing w:after="100"/>
      </w:pPr>
      <w:r>
        <w:rPr>
          <w:rFonts w:ascii="Arial" w:cs="Arial" w:eastAsia="Arial" w:hAnsi="Arial"/>
          <w:color w:val="1A1A2E"/>
          <w:sz w:val="22"/>
          <w:szCs w:val="22"/>
        </w:rPr>
        <w:t xml:space="preserve">API &amp; Integration Layer: Surpassing the monthly API call limit for third-party HRIS, ATS, or analytics integrations</w:t>
      </w:r>
    </w:p>
    <w:p>
      <w:pPr>
        <w:pStyle w:val="ListParagraph"/>
        <w:numPr>
          <w:ilvl w:val="0"/>
          <w:numId w:val="2"/>
        </w:numPr>
        <w:spacing w:after="100"/>
      </w:pPr>
      <w:r>
        <w:rPr>
          <w:rFonts w:ascii="Arial" w:cs="Arial" w:eastAsia="Arial" w:hAnsi="Arial"/>
          <w:color w:val="1A1A2E"/>
          <w:sz w:val="22"/>
          <w:szCs w:val="22"/>
        </w:rPr>
        <w:t xml:space="preserve">User Seats: Adding hiring managers, coordinators, or administrators beyond the contracted named-user count</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3A1D" w:sz="8"/>
              <w:left w:val="single" w:color="8B3A1D" w:sz="24"/>
              <w:bottom w:val="single" w:color="8B3A1D" w:sz="8"/>
              <w:right w:val="none" w:color="FFFFFF" w:sz="0"/>
            </w:tcBorders>
            <w:shd w:fill="FAF0EB" w:val="clear"/>
            <w:tcMar>
              <w:top w:type="dxa" w:w="200"/>
              <w:left w:type="dxa" w:w="300"/>
              <w:bottom w:type="dxa" w:w="200"/>
              <w:right w:type="dxa" w:w="300"/>
            </w:tcMar>
          </w:tcPr>
          <w:p>
            <w:pPr>
              <w:spacing w:after="120"/>
            </w:pPr>
            <w:r>
              <w:rPr>
                <w:rFonts w:ascii="Arial" w:cs="Arial" w:eastAsia="Arial" w:hAnsi="Arial"/>
                <w:b/>
                <w:bCs/>
                <w:color w:val="8B3A1D"/>
                <w:sz w:val="24"/>
                <w:szCs w:val="24"/>
              </w:rPr>
              <w:t xml:space="preserve">Warning: Auto-Escalation Risk</w:t>
            </w:r>
          </w:p>
          <w:p>
            <w:pPr>
              <w:spacing w:after="80"/>
            </w:pPr>
            <w:r>
              <w:rPr>
                <w:rFonts w:ascii="Arial" w:cs="Arial" w:eastAsia="Arial" w:hAnsi="Arial"/>
                <w:color w:val="1A1A2E"/>
                <w:sz w:val="21"/>
                <w:szCs w:val="21"/>
              </w:rPr>
              <w:t xml:space="preserve">Cadient automatically logs and accumulates overage events throughout the billing period without interrupting service. Clients are not proactively notified unless usage alerts are configured. This means you can unknowingly accumulate significant overage charges before receiving an invoice. Always configure usage alerts at the 70%–80% threshold level in the SmartSuite™ admin dashboard.</w:t>
            </w:r>
          </w:p>
        </w:tc>
      </w:tr>
    </w:tbl>
    <w:p>
      <w:r>
        <w:br w:type="page"/>
      </w:r>
    </w:p>
    <w:p>
      <w:pPr>
        <w:sectPr>
          <w:headerReference w:type="default" r:id="rId6"/>
          <w:footerReference w:type="default" r:id="rId7"/>
          <w:pgSz w:w="12240" w:h="15840" w:orient="portrait"/>
          <w:pgMar w:top="1440" w:right="1440" w:bottom="1440" w:left="1440" w:header="708" w:footer="708" w:gutter="0"/>
          <w:pgNumType/>
          <w:docGrid w:linePitch="360"/>
        </w:sectPr>
      </w:pPr>
    </w:p>
    <w:p>
      <w:pPr>
        <w:pBdr>
          <w:bottom w:val="single" w:color="8B3A1D" w:sz="6"/>
        </w:pBdr>
        <w:spacing w:before="80" w:after="160"/>
      </w:pPr>
      <w:r>
        <w:rPr>
          <w:rFonts w:ascii="Arial" w:cs="Arial" w:eastAsia="Arial" w:hAnsi="Arial"/>
          <w:b/>
          <w:bCs/>
          <w:color w:val="1B3A5C"/>
          <w:sz w:val="28"/>
          <w:szCs w:val="28"/>
        </w:rPr>
        <w:t xml:space="preserve">Common Causes of Unexpected Overages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60"/>
        <w:gridCol w:w="3600"/>
      </w:tblGrid>
      <w:tr>
        <w:tc>
          <w:tcPr>
            <w:tcW w:type="dxa" w:w="2700"/>
            <w:tcBorders>
              <w:top w:val="single" w:color="D4B8AE" w:sz="1"/>
              <w:left w:val="single" w:color="D4B8AE" w:sz="1"/>
              <w:bottom w:val="single" w:color="D4B8AE" w:sz="1"/>
              <w:right w:val="single" w:color="D4B8AE"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Cause</w:t>
            </w:r>
          </w:p>
        </w:tc>
        <w:tc>
          <w:tcPr>
            <w:tcW w:type="dxa" w:w="3060"/>
            <w:tcBorders>
              <w:top w:val="single" w:color="D4B8AE" w:sz="1"/>
              <w:left w:val="single" w:color="D4B8AE" w:sz="1"/>
              <w:bottom w:val="single" w:color="D4B8AE" w:sz="1"/>
              <w:right w:val="single" w:color="D4B8AE"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Why It Happens</w:t>
            </w:r>
          </w:p>
        </w:tc>
        <w:tc>
          <w:tcPr>
            <w:tcW w:type="dxa" w:w="3600"/>
            <w:tcBorders>
              <w:top w:val="single" w:color="D4B8AE" w:sz="1"/>
              <w:left w:val="single" w:color="D4B8AE" w:sz="1"/>
              <w:bottom w:val="single" w:color="D4B8AE" w:sz="1"/>
              <w:right w:val="single" w:color="D4B8AE"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How to Prevent It</w:t>
            </w:r>
          </w:p>
        </w:tc>
      </w:tr>
      <w:tr>
        <w:tc>
          <w:tcPr>
            <w:tcW w:type="dxa" w:w="270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bCs/>
                <w:color w:val="1A1A2E"/>
                <w:sz w:val="20"/>
                <w:szCs w:val="20"/>
              </w:rPr>
              <w:t xml:space="preserve">Seasonal Hiring Spikes</w:t>
            </w:r>
          </w:p>
        </w:tc>
        <w:tc>
          <w:tcPr>
            <w:tcW w:type="dxa" w:w="306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Holiday or back-to-school surges push req and assessment volumes above baseline</w:t>
            </w:r>
          </w:p>
        </w:tc>
        <w:tc>
          <w:tcPr>
            <w:tcW w:type="dxa" w:w="360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Request a temporary capacity upgrade before the spike</w:t>
            </w:r>
          </w:p>
        </w:tc>
      </w:tr>
      <w:tr>
        <w:tc>
          <w:tcPr>
            <w:tcW w:type="dxa" w:w="270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bCs/>
                <w:color w:val="1A1A2E"/>
                <w:sz w:val="20"/>
                <w:szCs w:val="20"/>
              </w:rPr>
              <w:t xml:space="preserve">New Location Openings</w:t>
            </w:r>
          </w:p>
        </w:tc>
        <w:tc>
          <w:tcPr>
            <w:tcW w:type="dxa" w:w="306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Rapid expansion adds reqs, users, and volume without contract adjustment</w:t>
            </w:r>
          </w:p>
        </w:tc>
        <w:tc>
          <w:tcPr>
            <w:tcW w:type="dxa" w:w="360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Trigger a contract amendment before expansion launches</w:t>
            </w:r>
          </w:p>
        </w:tc>
      </w:tr>
      <w:tr>
        <w:tc>
          <w:tcPr>
            <w:tcW w:type="dxa" w:w="270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bCs/>
                <w:color w:val="1A1A2E"/>
                <w:sz w:val="20"/>
                <w:szCs w:val="20"/>
              </w:rPr>
              <w:t xml:space="preserve">Unmanaged User Provisioning</w:t>
            </w:r>
          </w:p>
        </w:tc>
        <w:tc>
          <w:tcPr>
            <w:tcW w:type="dxa" w:w="306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IT adds hiring managers without checking seat count</w:t>
            </w:r>
          </w:p>
        </w:tc>
        <w:tc>
          <w:tcPr>
            <w:tcW w:type="dxa" w:w="360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Implement an HR Technology approval gate for new users</w:t>
            </w:r>
          </w:p>
        </w:tc>
      </w:tr>
      <w:tr>
        <w:tc>
          <w:tcPr>
            <w:tcW w:type="dxa" w:w="270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bCs/>
                <w:color w:val="1A1A2E"/>
                <w:sz w:val="20"/>
                <w:szCs w:val="20"/>
              </w:rPr>
              <w:t xml:space="preserve">Over-Texting Candidates</w:t>
            </w:r>
          </w:p>
        </w:tc>
        <w:tc>
          <w:tcPr>
            <w:tcW w:type="dxa" w:w="306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Automated workflows send multiple messages per candidate</w:t>
            </w:r>
          </w:p>
        </w:tc>
        <w:tc>
          <w:tcPr>
            <w:tcW w:type="dxa" w:w="360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Audit workflow logic; consolidate or suppress redundant sends</w:t>
            </w:r>
          </w:p>
        </w:tc>
      </w:tr>
      <w:tr>
        <w:tc>
          <w:tcPr>
            <w:tcW w:type="dxa" w:w="270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bCs/>
                <w:color w:val="1A1A2E"/>
                <w:sz w:val="20"/>
                <w:szCs w:val="20"/>
              </w:rPr>
              <w:t xml:space="preserve">Integration Misconfiguration</w:t>
            </w:r>
          </w:p>
        </w:tc>
        <w:tc>
          <w:tcPr>
            <w:tcW w:type="dxa" w:w="306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A sync job runs too frequently due to a config error</w:t>
            </w:r>
          </w:p>
        </w:tc>
        <w:tc>
          <w:tcPr>
            <w:tcW w:type="dxa" w:w="360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Audit all integration schedules quarterly</w:t>
            </w:r>
          </w:p>
        </w:tc>
      </w:tr>
      <w:tr>
        <w:tc>
          <w:tcPr>
            <w:tcW w:type="dxa" w:w="270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bCs/>
                <w:color w:val="1A1A2E"/>
                <w:sz w:val="20"/>
                <w:szCs w:val="20"/>
              </w:rPr>
              <w:t xml:space="preserve">Legacy Reqs Not Closed</w:t>
            </w:r>
          </w:p>
        </w:tc>
        <w:tc>
          <w:tcPr>
            <w:tcW w:type="dxa" w:w="306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Inactive reqs left open count against the active req limit</w:t>
            </w:r>
          </w:p>
        </w:tc>
        <w:tc>
          <w:tcPr>
            <w:tcW w:type="dxa" w:w="360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Establish an aged-req closure policy (e.g., 90-day rule)</w:t>
            </w:r>
          </w:p>
        </w:tc>
      </w:tr>
    </w:tbl>
    <w:p>
      <w:pPr>
        <w:spacing w:before="0" w:after="160"/>
      </w:pPr>
      <w:r>
        <w:t xml:space="preserve"/>
      </w:r>
    </w:p>
    <w:p>
      <w:pPr>
        <w:pBdr>
          <w:bottom w:val="single" w:color="8B3A1D" w:sz="6"/>
        </w:pBdr>
        <w:spacing w:before="240" w:after="160"/>
      </w:pPr>
      <w:r>
        <w:rPr>
          <w:rFonts w:ascii="Arial" w:cs="Arial" w:eastAsia="Arial" w:hAnsi="Arial"/>
          <w:b/>
          <w:bCs/>
          <w:color w:val="1B3A5C"/>
          <w:sz w:val="28"/>
          <w:szCs w:val="28"/>
        </w:rPr>
        <w:t xml:space="preserve">Monitoring &amp; Alert Configuration</w:t>
      </w:r>
    </w:p>
    <w:p>
      <w:pPr>
        <w:spacing w:before="60" w:after="140"/>
        <w:jc w:val="left"/>
      </w:pPr>
      <w:r>
        <w:rPr>
          <w:rFonts w:ascii="Arial" w:cs="Arial" w:eastAsia="Arial" w:hAnsi="Arial"/>
          <w:b w:val="false"/>
          <w:bCs w:val="false"/>
          <w:color w:val="1A1A2E"/>
          <w:sz w:val="22"/>
          <w:szCs w:val="22"/>
        </w:rPr>
        <w:t xml:space="preserve">Cadient’s SmartSuite™ administrative console provides a Usage &amp; Billing dashboard where account administrators can view real-time consumption across all metered dimensions. Configuring automated alerts is the single most important preventive action an admin team can take.</w:t>
      </w:r>
    </w:p>
    <w:p>
      <w:pPr>
        <w:pStyle w:val="ListParagraph"/>
        <w:numPr>
          <w:ilvl w:val="0"/>
          <w:numId w:val="2"/>
        </w:numPr>
        <w:spacing w:after="100"/>
      </w:pPr>
      <w:r>
        <w:rPr>
          <w:rFonts w:ascii="Arial" w:cs="Arial" w:eastAsia="Arial" w:hAnsi="Arial"/>
          <w:color w:val="1A1A2E"/>
          <w:sz w:val="22"/>
          <w:szCs w:val="22"/>
        </w:rPr>
        <w:t xml:space="preserve">Navigate to Admin Console &gt; Billing &amp; Usage &gt; Usage Alerts to configure threshold notifications.</w:t>
      </w:r>
    </w:p>
    <w:p>
      <w:pPr>
        <w:pStyle w:val="ListParagraph"/>
        <w:numPr>
          <w:ilvl w:val="0"/>
          <w:numId w:val="2"/>
        </w:numPr>
        <w:spacing w:after="100"/>
      </w:pPr>
      <w:r>
        <w:rPr>
          <w:rFonts w:ascii="Arial" w:cs="Arial" w:eastAsia="Arial" w:hAnsi="Arial"/>
          <w:color w:val="1A1A2E"/>
          <w:sz w:val="22"/>
          <w:szCs w:val="22"/>
        </w:rPr>
        <w:t xml:space="preserve">Set alert thresholds at 70% consumption (early warning) and 90% consumption (critical warning) for each metered dimension.</w:t>
      </w:r>
    </w:p>
    <w:p>
      <w:pPr>
        <w:pStyle w:val="ListParagraph"/>
        <w:numPr>
          <w:ilvl w:val="0"/>
          <w:numId w:val="2"/>
        </w:numPr>
        <w:spacing w:after="100"/>
      </w:pPr>
      <w:r>
        <w:rPr>
          <w:rFonts w:ascii="Arial" w:cs="Arial" w:eastAsia="Arial" w:hAnsi="Arial"/>
          <w:color w:val="1A1A2E"/>
          <w:sz w:val="22"/>
          <w:szCs w:val="22"/>
        </w:rPr>
        <w:t xml:space="preserve">Designate a primary and backup alert recipient—ideally one HR Ops and one Finance contact—to ensure alerts are actioned even when the primary owner is unavailable.</w:t>
      </w:r>
    </w:p>
    <w:p>
      <w:pPr>
        <w:pStyle w:val="ListParagraph"/>
        <w:numPr>
          <w:ilvl w:val="0"/>
          <w:numId w:val="2"/>
        </w:numPr>
        <w:spacing w:after="100"/>
      </w:pPr>
      <w:r>
        <w:rPr>
          <w:rFonts w:ascii="Arial" w:cs="Arial" w:eastAsia="Arial" w:hAnsi="Arial"/>
          <w:color w:val="1A1A2E"/>
          <w:sz w:val="22"/>
          <w:szCs w:val="22"/>
        </w:rPr>
        <w:t xml:space="preserve">Review the Usage &amp; Billing dashboard monthly at a minimum; weekly during known high-volume hiring seasons.</w:t>
      </w:r>
    </w:p>
    <w:p>
      <w:pPr>
        <w:pStyle w:val="ListParagraph"/>
        <w:numPr>
          <w:ilvl w:val="0"/>
          <w:numId w:val="2"/>
        </w:numPr>
        <w:spacing w:after="100"/>
      </w:pPr>
      <w:r>
        <w:rPr>
          <w:rFonts w:ascii="Arial" w:cs="Arial" w:eastAsia="Arial" w:hAnsi="Arial"/>
          <w:color w:val="1A1A2E"/>
          <w:sz w:val="22"/>
          <w:szCs w:val="22"/>
        </w:rPr>
        <w:t xml:space="preserve">Export the monthly usage report and share with Finance to support budget reconciliation and forecasting.</w:t>
      </w:r>
    </w:p>
    <w:p>
      <w:pPr>
        <w:spacing w:before="0" w:after="160"/>
      </w:pPr>
      <w:r>
        <w:t xml:space="preserve"/>
      </w:r>
    </w:p>
    <w:p>
      <w:pPr>
        <w:pBdr>
          <w:bottom w:val="single" w:color="8B3A1D" w:sz="6"/>
        </w:pBdr>
        <w:spacing w:before="240" w:after="160"/>
      </w:pPr>
      <w:r>
        <w:rPr>
          <w:rFonts w:ascii="Arial" w:cs="Arial" w:eastAsia="Arial" w:hAnsi="Arial"/>
          <w:b/>
          <w:bCs/>
          <w:color w:val="1B3A5C"/>
          <w:sz w:val="28"/>
          <w:szCs w:val="28"/>
        </w:rPr>
        <w:t xml:space="preserve">Managing Overages: Escalation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c>
          <w:tcPr>
            <w:tcW w:type="dxa" w:w="2600"/>
            <w:tcBorders>
              <w:top w:val="single" w:color="D4B8AE" w:sz="1"/>
              <w:left w:val="single" w:color="D4B8AE" w:sz="1"/>
              <w:bottom w:val="single" w:color="D4B8AE" w:sz="1"/>
              <w:right w:val="single" w:color="D4B8AE"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Situation</w:t>
            </w:r>
          </w:p>
        </w:tc>
        <w:tc>
          <w:tcPr>
            <w:tcW w:type="dxa" w:w="3700"/>
            <w:tcBorders>
              <w:top w:val="single" w:color="D4B8AE" w:sz="1"/>
              <w:left w:val="single" w:color="D4B8AE" w:sz="1"/>
              <w:bottom w:val="single" w:color="D4B8AE" w:sz="1"/>
              <w:right w:val="single" w:color="D4B8AE"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Recommended Action</w:t>
            </w:r>
          </w:p>
        </w:tc>
        <w:tc>
          <w:tcPr>
            <w:tcW w:type="dxa" w:w="3060"/>
            <w:tcBorders>
              <w:top w:val="single" w:color="D4B8AE" w:sz="1"/>
              <w:left w:val="single" w:color="D4B8AE" w:sz="1"/>
              <w:bottom w:val="single" w:color="D4B8AE" w:sz="1"/>
              <w:right w:val="single" w:color="D4B8AE"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Expected Outcome</w:t>
            </w:r>
          </w:p>
        </w:tc>
      </w:tr>
      <w:tr>
        <w:tc>
          <w:tcPr>
            <w:tcW w:type="dxa" w:w="260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bCs/>
                <w:color w:val="1A1A2E"/>
                <w:sz w:val="20"/>
                <w:szCs w:val="20"/>
              </w:rPr>
              <w:t xml:space="preserve">Approaching threshold (70–80%)</w:t>
            </w:r>
          </w:p>
        </w:tc>
        <w:tc>
          <w:tcPr>
            <w:tcW w:type="dxa" w:w="370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Contact account manager immediately to discuss a temporary capacity uplift</w:t>
            </w:r>
          </w:p>
        </w:tc>
        <w:tc>
          <w:tcPr>
            <w:tcW w:type="dxa" w:w="306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Negotiate a pre-agreed rate vs. standard overage rate</w:t>
            </w:r>
          </w:p>
        </w:tc>
      </w:tr>
      <w:tr>
        <w:tc>
          <w:tcPr>
            <w:tcW w:type="dxa" w:w="260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bCs/>
                <w:color w:val="1A1A2E"/>
                <w:sz w:val="20"/>
                <w:szCs w:val="20"/>
              </w:rPr>
              <w:t xml:space="preserve">Threshold exceeded, current month</w:t>
            </w:r>
          </w:p>
        </w:tc>
        <w:tc>
          <w:tcPr>
            <w:tcW w:type="dxa" w:w="370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Request a retroactive contract amendment for the current period</w:t>
            </w:r>
          </w:p>
        </w:tc>
        <w:tc>
          <w:tcPr>
            <w:tcW w:type="dxa" w:w="306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May eliminate or reduce the overage charge if caught early</w:t>
            </w:r>
          </w:p>
        </w:tc>
      </w:tr>
      <w:tr>
        <w:tc>
          <w:tcPr>
            <w:tcW w:type="dxa" w:w="260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bCs/>
                <w:color w:val="1A1A2E"/>
                <w:sz w:val="20"/>
                <w:szCs w:val="20"/>
              </w:rPr>
              <w:t xml:space="preserve">Recurring overages (2+ months)</w:t>
            </w:r>
          </w:p>
        </w:tc>
        <w:tc>
          <w:tcPr>
            <w:tcW w:type="dxa" w:w="370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Initiate a formal contract right-sizing discussion</w:t>
            </w:r>
          </w:p>
        </w:tc>
        <w:tc>
          <w:tcPr>
            <w:tcW w:type="dxa" w:w="3060"/>
            <w:tcBorders>
              <w:top w:val="single" w:color="D4B8AE" w:sz="1"/>
              <w:left w:val="single" w:color="D4B8AE" w:sz="1"/>
              <w:bottom w:val="single" w:color="D4B8AE" w:sz="1"/>
              <w:right w:val="single" w:color="D4B8AE" w:sz="1"/>
            </w:tcBorders>
            <w:shd w:fill="FDF7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Adjust contracted volumes to match actual usage patterns</w:t>
            </w:r>
          </w:p>
        </w:tc>
      </w:tr>
      <w:tr>
        <w:tc>
          <w:tcPr>
            <w:tcW w:type="dxa" w:w="260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bCs/>
                <w:color w:val="1A1A2E"/>
                <w:sz w:val="20"/>
                <w:szCs w:val="20"/>
              </w:rPr>
              <w:t xml:space="preserve">Dispute on overage invoice</w:t>
            </w:r>
          </w:p>
        </w:tc>
        <w:tc>
          <w:tcPr>
            <w:tcW w:type="dxa" w:w="370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Request a detailed usage log and compare against your admin dashboard data</w:t>
            </w:r>
          </w:p>
        </w:tc>
        <w:tc>
          <w:tcPr>
            <w:tcW w:type="dxa" w:w="3060"/>
            <w:tcBorders>
              <w:top w:val="single" w:color="D4B8AE" w:sz="1"/>
              <w:left w:val="single" w:color="D4B8AE" w:sz="1"/>
              <w:bottom w:val="single" w:color="D4B8AE" w:sz="1"/>
              <w:right w:val="single" w:color="D4B8AE"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Resolve discrepancies; errors are not uncommon</w:t>
            </w:r>
          </w:p>
        </w:tc>
      </w:tr>
    </w:tbl>
    <w:p>
      <w:pPr>
        <w:spacing w:before="0" w:after="160"/>
      </w:pPr>
      <w:r>
        <w:t xml:space="preserve"/>
      </w:r>
    </w:p>
    <w:p>
      <w:pPr>
        <w:pBdr>
          <w:bottom w:val="single" w:color="8B3A1D" w:sz="6"/>
        </w:pBdr>
        <w:spacing w:before="240" w:after="160"/>
      </w:pPr>
      <w:r>
        <w:rPr>
          <w:rFonts w:ascii="Arial" w:cs="Arial" w:eastAsia="Arial" w:hAnsi="Arial"/>
          <w:b/>
          <w:bCs/>
          <w:color w:val="1B3A5C"/>
          <w:sz w:val="28"/>
          <w:szCs w:val="28"/>
        </w:rPr>
        <w:t xml:space="preserve">Budgeting for Overage Risk</w:t>
      </w:r>
    </w:p>
    <w:p>
      <w:pPr>
        <w:spacing w:before="60" w:after="140"/>
        <w:jc w:val="left"/>
      </w:pPr>
      <w:r>
        <w:rPr>
          <w:rFonts w:ascii="Arial" w:cs="Arial" w:eastAsia="Arial" w:hAnsi="Arial"/>
          <w:b w:val="false"/>
          <w:bCs w:val="false"/>
          <w:color w:val="1A1A2E"/>
          <w:sz w:val="22"/>
          <w:szCs w:val="22"/>
        </w:rPr>
        <w:t xml:space="preserve">Best practice for enterprise HR technology budgeting is to treat Overage Fees as a distinct line item with a contingency buffer. Given that overage charges typically range from 5–15% above the base contract value in high-growth environments, a prudent approach is to budget 110–115% of the contracted platform cost each year.</w:t>
      </w:r>
    </w:p>
    <w:p>
      <w:pPr>
        <w:pStyle w:val="ListParagraph"/>
        <w:numPr>
          <w:ilvl w:val="0"/>
          <w:numId w:val="2"/>
        </w:numPr>
        <w:spacing w:after="100"/>
      </w:pPr>
      <w:r>
        <w:rPr>
          <w:rFonts w:ascii="Arial" w:cs="Arial" w:eastAsia="Arial" w:hAnsi="Arial"/>
          <w:color w:val="1A1A2E"/>
          <w:sz w:val="22"/>
          <w:szCs w:val="22"/>
        </w:rPr>
        <w:t xml:space="preserve">Include an Overage Reserve of 10–15% of the annual Cadient contract value in your HR technology budget.</w:t>
      </w:r>
    </w:p>
    <w:p>
      <w:pPr>
        <w:pStyle w:val="ListParagraph"/>
        <w:numPr>
          <w:ilvl w:val="0"/>
          <w:numId w:val="2"/>
        </w:numPr>
        <w:spacing w:after="100"/>
      </w:pPr>
      <w:r>
        <w:rPr>
          <w:rFonts w:ascii="Arial" w:cs="Arial" w:eastAsia="Arial" w:hAnsi="Arial"/>
          <w:color w:val="1A1A2E"/>
          <w:sz w:val="22"/>
          <w:szCs w:val="22"/>
        </w:rPr>
        <w:t xml:space="preserve">Review actual vs. budgeted overage quarterly with Finance; adjust the reserve annually based on prior-year actuals.</w:t>
      </w:r>
    </w:p>
    <w:p>
      <w:pPr>
        <w:pStyle w:val="ListParagraph"/>
        <w:numPr>
          <w:ilvl w:val="0"/>
          <w:numId w:val="2"/>
        </w:numPr>
        <w:spacing w:after="100"/>
      </w:pPr>
      <w:r>
        <w:rPr>
          <w:rFonts w:ascii="Arial" w:cs="Arial" w:eastAsia="Arial" w:hAnsi="Arial"/>
          <w:color w:val="1A1A2E"/>
          <w:sz w:val="22"/>
          <w:szCs w:val="22"/>
        </w:rPr>
        <w:t xml:space="preserve">When planning a new hiring initiative, estimate incremental volume impact and model the overage exposure before launch.</w:t>
      </w:r>
    </w:p>
    <w:p>
      <w:pPr>
        <w:pStyle w:val="ListParagraph"/>
        <w:numPr>
          <w:ilvl w:val="0"/>
          <w:numId w:val="2"/>
        </w:numPr>
        <w:spacing w:after="100"/>
      </w:pPr>
      <w:r>
        <w:rPr>
          <w:rFonts w:ascii="Arial" w:cs="Arial" w:eastAsia="Arial" w:hAnsi="Arial"/>
          <w:color w:val="1A1A2E"/>
          <w:sz w:val="22"/>
          <w:szCs w:val="22"/>
        </w:rPr>
        <w:t xml:space="preserve">Use the contract renewal window to right-size your contracted volumes based on trailing 12-month usage data.</w:t>
      </w:r>
    </w:p>
    <w:p>
      <w:pPr>
        <w:pStyle w:val="ListParagraph"/>
        <w:numPr>
          <w:ilvl w:val="0"/>
          <w:numId w:val="2"/>
        </w:numPr>
        <w:spacing w:after="100"/>
      </w:pPr>
      <w:r>
        <w:rPr>
          <w:rFonts w:ascii="Arial" w:cs="Arial" w:eastAsia="Arial" w:hAnsi="Arial"/>
          <w:color w:val="1A1A2E"/>
          <w:sz w:val="22"/>
          <w:szCs w:val="22"/>
        </w:rPr>
        <w:t xml:space="preserve">Ask Cadient for a Usage Efficiency Report at renewal—this shows which contracted resources are underutilized and which are chronically over limit.</w:t>
      </w:r>
    </w:p>
    <w:p>
      <w:pPr>
        <w:spacing w:before="0" w:after="160"/>
      </w:pPr>
      <w:r>
        <w:t xml:space="preserve"/>
      </w:r>
    </w:p>
    <w:p>
      <w:pPr>
        <w:pBdr>
          <w:bottom w:val="single" w:color="8B3A1D" w:sz="6"/>
        </w:pBdr>
        <w:spacing w:before="240" w:after="160"/>
      </w:pPr>
      <w:r>
        <w:rPr>
          <w:rFonts w:ascii="Arial" w:cs="Arial" w:eastAsia="Arial" w:hAnsi="Arial"/>
          <w:b/>
          <w:bCs/>
          <w:color w:val="1B3A5C"/>
          <w:sz w:val="28"/>
          <w:szCs w:val="28"/>
        </w:rPr>
        <w:t xml:space="preserve">Frequently Asked Questions</w:t>
      </w:r>
    </w:p>
    <w:p>
      <w:pPr>
        <w:spacing w:before="60" w:after="60"/>
        <w:jc w:val="left"/>
      </w:pPr>
      <w:r>
        <w:rPr>
          <w:rFonts w:ascii="Arial" w:cs="Arial" w:eastAsia="Arial" w:hAnsi="Arial"/>
          <w:b/>
          <w:bCs/>
          <w:color w:val="1A1A2E"/>
          <w:sz w:val="22"/>
          <w:szCs w:val="22"/>
        </w:rPr>
        <w:t xml:space="preserve">Q: Is there a grace period before overage charges kick in?</w:t>
      </w:r>
    </w:p>
    <w:p>
      <w:pPr>
        <w:spacing w:before="60" w:after="180"/>
        <w:jc w:val="left"/>
      </w:pPr>
      <w:r>
        <w:rPr>
          <w:rFonts w:ascii="Arial" w:cs="Arial" w:eastAsia="Arial" w:hAnsi="Arial"/>
          <w:b w:val="false"/>
          <w:bCs w:val="false"/>
          <w:color w:val="555555"/>
          <w:sz w:val="22"/>
          <w:szCs w:val="22"/>
        </w:rPr>
        <w:t xml:space="preserve">Most Cadient contracts do not include a formal grace period. Overage begins accumulating the moment usage crosses the contracted threshold. Some enterprise agreements include a small buffer zone (e.g., up to 5% above limit at no charge), but this must be negotiated explicitly.</w:t>
      </w:r>
    </w:p>
    <w:p>
      <w:pPr>
        <w:spacing w:before="60" w:after="60"/>
        <w:jc w:val="left"/>
      </w:pPr>
      <w:r>
        <w:rPr>
          <w:rFonts w:ascii="Arial" w:cs="Arial" w:eastAsia="Arial" w:hAnsi="Arial"/>
          <w:b/>
          <w:bCs/>
          <w:color w:val="1A1A2E"/>
          <w:sz w:val="22"/>
          <w:szCs w:val="22"/>
        </w:rPr>
        <w:t xml:space="preserve">Q: Can we get a credit if we were below the threshold for prior months?</w:t>
      </w:r>
    </w:p>
    <w:p>
      <w:pPr>
        <w:spacing w:before="60" w:after="200"/>
        <w:jc w:val="left"/>
      </w:pPr>
      <w:r>
        <w:rPr>
          <w:rFonts w:ascii="Arial" w:cs="Arial" w:eastAsia="Arial" w:hAnsi="Arial"/>
          <w:b w:val="false"/>
          <w:bCs w:val="false"/>
          <w:color w:val="555555"/>
          <w:sz w:val="22"/>
          <w:szCs w:val="22"/>
        </w:rPr>
        <w:t xml:space="preserve">Unused allotment does not roll forward. Each billing period is assessed independently. If you are consistently under-utilizing your contracted limits, consider right-sizing your contract downward at renewal to reduce your base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3A1D" w:sz="8"/>
              <w:left w:val="single" w:color="8B3A1D" w:sz="24"/>
              <w:bottom w:val="single" w:color="8B3A1D" w:sz="8"/>
              <w:right w:val="none" w:color="FFFFFF" w:sz="0"/>
            </w:tcBorders>
            <w:shd w:fill="FAF0EB" w:val="clear"/>
            <w:tcMar>
              <w:top w:type="dxa" w:w="200"/>
              <w:left w:type="dxa" w:w="300"/>
              <w:bottom w:type="dxa" w:w="200"/>
              <w:right w:type="dxa" w:w="300"/>
            </w:tcMar>
          </w:tcPr>
          <w:p>
            <w:pPr>
              <w:spacing w:after="120"/>
            </w:pPr>
            <w:r>
              <w:rPr>
                <w:rFonts w:ascii="Arial" w:cs="Arial" w:eastAsia="Arial" w:hAnsi="Arial"/>
                <w:b/>
                <w:bCs/>
                <w:color w:val="1B3A5C"/>
                <w:sz w:val="24"/>
                <w:szCs w:val="24"/>
              </w:rPr>
              <w:t xml:space="preserve">Contact &amp; Support</w:t>
            </w:r>
          </w:p>
          <w:p>
            <w:pPr>
              <w:spacing w:after="80"/>
            </w:pPr>
            <w:r>
              <w:rPr>
                <w:rFonts w:ascii="Arial" w:cs="Arial" w:eastAsia="Arial" w:hAnsi="Arial"/>
                <w:color w:val="1A1A2E"/>
                <w:sz w:val="21"/>
                <w:szCs w:val="21"/>
              </w:rPr>
              <w:t xml:space="preserve">To discuss overage exposure, configure usage alerts, or negotiate a capacity amendment, contact your Cadient Account Manager directly:</w:t>
            </w:r>
          </w:p>
          <w:p>
            <w:pPr>
              <w:spacing w:after="60"/>
            </w:pPr>
            <w:r>
              <w:rPr>
                <w:rFonts w:ascii="Arial" w:cs="Arial" w:eastAsia="Arial" w:hAnsi="Arial"/>
                <w:b/>
                <w:bCs/>
                <w:color w:val="8B3A1D"/>
                <w:sz w:val="22"/>
                <w:szCs w:val="22"/>
              </w:rPr>
              <w:t xml:space="preserve">sales@cadienttalent.com  ·  cadienttalent.com</w:t>
            </w:r>
          </w:p>
        </w:tc>
      </w:tr>
    </w:tbl>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B8AE" w:sz="4"/>
      </w:pBdr>
      <w:spacing w:before="120"/>
      <w:jc w:val="center"/>
    </w:pPr>
    <w:r>
      <w:rPr>
        <w:rFonts w:ascii="Arial" w:cs="Arial" w:eastAsia="Arial" w:hAnsi="Arial"/>
        <w:color w:val="555555"/>
        <w:sz w:val="18"/>
        <w:szCs w:val="18"/>
      </w:rPr>
      <w:t xml:space="preserve">Cadient Talent  ·  Confidential &amp; Proprietary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B8AE" w:sz="4"/>
      </w:pBdr>
      <w:spacing w:before="120"/>
      <w:jc w:val="center"/>
    </w:pPr>
    <w:r>
      <w:rPr>
        <w:rFonts w:ascii="Arial" w:cs="Arial" w:eastAsia="Arial" w:hAnsi="Arial"/>
        <w:color w:val="555555"/>
        <w:sz w:val="18"/>
        <w:szCs w:val="18"/>
      </w:rPr>
      <w:t xml:space="preserve">Cadient Talent  ·  Confidential &amp; Proprietary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single" w:color="8B3A1D" w:sz="6"/>
            <w:right w:val="none" w:color="FFFFFF" w:sz="0"/>
          </w:tcBorders>
          <w:shd w:fill="FFFFFF" w:val="clear"/>
          <w:tcMar>
            <w:top w:type="dxa" w:w="80"/>
            <w:left w:type="dxa" w:w="0"/>
            <w:bottom w:type="dxa" w:w="160"/>
            <w:right w:type="dxa" w:w="0"/>
          </w:tcMar>
        </w:tcPr>
        <w:p>
          <w:r>
            <w:rPr>
              <w:rFonts w:ascii="Arial" w:cs="Arial" w:eastAsia="Arial" w:hAnsi="Arial"/>
              <w:b/>
              <w:bCs/>
              <w:color w:val="1B3A5C"/>
              <w:sz w:val="20"/>
              <w:szCs w:val="20"/>
            </w:rPr>
            <w:t xml:space="preserve">Cadient Talent  </w:t>
          </w:r>
          <w:r>
            <w:rPr>
              <w:rFonts w:ascii="Arial" w:cs="Arial" w:eastAsia="Arial" w:hAnsi="Arial"/>
              <w:color w:val="555555"/>
              <w:sz w:val="20"/>
              <w:szCs w:val="20"/>
            </w:rPr>
            <w:t xml:space="preserve">| Overage Fee Guide</w:t>
          </w:r>
        </w:p>
      </w:tc>
      <w:tc>
        <w:tcPr>
          <w:tcW w:type="dxa" w:w="2860"/>
          <w:tcBorders>
            <w:top w:val="none" w:color="FFFFFF" w:sz="0"/>
            <w:left w:val="none" w:color="FFFFFF" w:sz="0"/>
            <w:bottom w:val="single" w:color="8B3A1D" w:sz="6"/>
            <w:right w:val="none" w:color="FFFFFF" w:sz="0"/>
          </w:tcBorders>
          <w:shd w:fill="FFFFFF" w:val="clear"/>
          <w:tcMar>
            <w:top w:type="dxa" w:w="80"/>
            <w:left w:type="dxa" w:w="0"/>
            <w:bottom w:type="dxa" w:w="160"/>
            <w:right w:type="dxa" w:w="0"/>
          </w:tcMar>
        </w:tcPr>
        <w:p>
          <w:pPr>
            <w:jc w:val="right"/>
          </w:pPr>
          <w:r>
            <w:rPr>
              <w:rFonts w:ascii="Arial" w:cs="Arial" w:eastAsia="Arial" w:hAnsi="Arial"/>
              <w:color w:val="555555"/>
              <w:sz w:val="18"/>
              <w:szCs w:val="18"/>
            </w:rPr>
            <w:t xml:space="preserve">cadienttalent.com</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single" w:color="8B3A1D" w:sz="6"/>
            <w:right w:val="none" w:color="FFFFFF" w:sz="0"/>
          </w:tcBorders>
          <w:shd w:fill="FFFFFF" w:val="clear"/>
          <w:tcMar>
            <w:top w:type="dxa" w:w="80"/>
            <w:left w:type="dxa" w:w="0"/>
            <w:bottom w:type="dxa" w:w="160"/>
            <w:right w:type="dxa" w:w="0"/>
          </w:tcMar>
        </w:tcPr>
        <w:p>
          <w:r>
            <w:rPr>
              <w:rFonts w:ascii="Arial" w:cs="Arial" w:eastAsia="Arial" w:hAnsi="Arial"/>
              <w:b/>
              <w:bCs/>
              <w:color w:val="1B3A5C"/>
              <w:sz w:val="20"/>
              <w:szCs w:val="20"/>
            </w:rPr>
            <w:t xml:space="preserve">Cadient Talent  </w:t>
          </w:r>
          <w:r>
            <w:rPr>
              <w:rFonts w:ascii="Arial" w:cs="Arial" w:eastAsia="Arial" w:hAnsi="Arial"/>
              <w:color w:val="555555"/>
              <w:sz w:val="20"/>
              <w:szCs w:val="20"/>
            </w:rPr>
            <w:t xml:space="preserve">| Overage Fee Guide</w:t>
          </w:r>
        </w:p>
      </w:tc>
      <w:tc>
        <w:tcPr>
          <w:tcW w:type="dxa" w:w="2860"/>
          <w:tcBorders>
            <w:top w:val="none" w:color="FFFFFF" w:sz="0"/>
            <w:left w:val="none" w:color="FFFFFF" w:sz="0"/>
            <w:bottom w:val="single" w:color="8B3A1D" w:sz="6"/>
            <w:right w:val="none" w:color="FFFFFF" w:sz="0"/>
          </w:tcBorders>
          <w:shd w:fill="FFFFFF" w:val="clear"/>
          <w:tcMar>
            <w:top w:type="dxa" w:w="80"/>
            <w:left w:type="dxa" w:w="0"/>
            <w:bottom w:type="dxa" w:w="160"/>
            <w:right w:type="dxa" w:w="0"/>
          </w:tcMar>
        </w:tcPr>
        <w:p>
          <w:pPr>
            <w:jc w:val="right"/>
          </w:pPr>
          <w:r>
            <w:rPr>
              <w:rFonts w:ascii="Arial" w:cs="Arial" w:eastAsia="Arial" w:hAnsi="Arial"/>
              <w:color w:val="555555"/>
              <w:sz w:val="18"/>
              <w:szCs w:val="18"/>
            </w:rPr>
            <w:t xml:space="preserve">cadienttalent.com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2026-02-14T09:06:00.307Z</dcterms:created>
  <dcterms:modified xsi:type="dcterms:W3CDTF">2026-02-14T09:06:00.308Z</dcterms:modified>
</cp:coreProperties>
</file>

<file path=docProps/custom.xml><?xml version="1.0" encoding="utf-8"?>
<Properties xmlns="http://schemas.openxmlformats.org/officeDocument/2006/custom-properties" xmlns:vt="http://schemas.openxmlformats.org/officeDocument/2006/docPropsVTypes"/>
</file>