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Your Part — Voice Notes &amp; Hand-Drawn Deliverables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C00000"/>
          <w:sz w:val="20"/>
          <w:szCs w:val="20"/>
        </w:rPr>
        <w:t xml:space="preserve">Read this first. </w:t>
      </w:r>
      <w:r>
        <w:rPr>
          <w:rFonts w:ascii="Calibri" w:cs="Calibri" w:eastAsia="Calibri" w:hAnsi="Calibri"/>
          <w:sz w:val="20"/>
          <w:szCs w:val="20"/>
        </w:rPr>
        <w:t xml:space="preserve">DeepThought explicitly says the voice notes and hand-drawn diagrams are how they filter candidates, that AI-generated diagrams are an auto-reject, and that the thinking must be yours. I built the spreadsheet and the written analyses for you to study and edit — but the three items below you must record/draw yourself. The points below are scaffolding to speak from, not a script to read aloud (they're listening for natural narration, not recitation).</w:t>
      </w:r>
    </w:p>
    <w:p>
      <w:pPr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Voice Note 1 — Learnability (5+ min): ROAS, ACOS, TACOS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Teach it like a colleague who's never heard the terms. Cover, in your own words: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ROAS = revenue ÷ ad spend. </w:t>
      </w:r>
      <w:r>
        <w:rPr>
          <w:rFonts w:ascii="Calibri" w:cs="Calibri" w:eastAsia="Calibri" w:hAnsi="Calibri"/>
          <w:sz w:val="20"/>
          <w:szCs w:val="20"/>
        </w:rPr>
        <w:t xml:space="preserve">"For every ₹1 I put into ads, how many rupees come back." ROAS 4 = ₹4 back per ₹1. A brand spending ₹15L/month cares because it's the first gut-check that ads aren't just burning cash.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ACOS = ad spend ÷ ad revenue (the inverse of ROAS). </w:t>
      </w:r>
      <w:r>
        <w:rPr>
          <w:rFonts w:ascii="Calibri" w:cs="Calibri" w:eastAsia="Calibri" w:hAnsi="Calibri"/>
          <w:sz w:val="20"/>
          <w:szCs w:val="20"/>
        </w:rPr>
        <w:t xml:space="preserve">ROAS 4 ⇒ ACOS 25%. Same fact, flipped: ROAS is 'return', ACOS is 'cost'. High ACOS is fine when you're launching, defending a keyword, or have fat margins; it's a problem when it crosses your break-even ACOS (the point where a sale stops being profitable).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TACOS = ad spend ÷ TOTAL revenue (paid + organic). </w:t>
      </w:r>
      <w:r>
        <w:rPr>
          <w:rFonts w:ascii="Calibri" w:cs="Calibri" w:eastAsia="Calibri" w:hAnsi="Calibri"/>
          <w:sz w:val="20"/>
          <w:szCs w:val="20"/>
        </w:rPr>
        <w:t xml:space="preserve">ACOS only looks at the ad-driven slice; TACOS looks at the whole business. It's the better long-term health metric because as organic sales grow, TACOS falls even if ad spend is flat — meaning the brand is building equity, not renting traffic.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Connect them: </w:t>
      </w:r>
      <w:r>
        <w:rPr>
          <w:rFonts w:ascii="Calibri" w:cs="Calibri" w:eastAsia="Calibri" w:hAnsi="Calibri"/>
          <w:sz w:val="20"/>
          <w:szCs w:val="20"/>
        </w:rPr>
        <w:t xml:space="preserve">ROAS and ACOS are the same coin (one's the inverse of the other) and both describe only the paid engine. TACOS zooms out to the whole P&amp;L. You can have a great ACOS and still have a rising TACOS if organic is collapsing — that's the trap.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Your own example (not from the source): </w:t>
      </w:r>
      <w:r>
        <w:rPr>
          <w:rFonts w:ascii="Calibri" w:cs="Calibri" w:eastAsia="Calibri" w:hAnsi="Calibri"/>
          <w:sz w:val="20"/>
          <w:szCs w:val="20"/>
        </w:rPr>
        <w:t xml:space="preserve">use GlowNest from Task 1 — ACOS 25%, TACOS only 10.7%. Say out loud why the gap exists (2,000 organic units dilute the ad cost across a bigger base), and what you'd watch: if organic dropped, TACOS would climb toward ACOS and the channel would get fragile. That single worked example proves you understood rather than memorised.</w:t>
      </w:r>
    </w:p>
    <w:p>
      <w:pPr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Voice Note 2 — Task 1 Approach (2–3 min)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How you approached it: started from unit economics (one serum) before scaling to the month — because if one unit doesn't make money, volume just loses faster.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What surprised you: organic is 82% of contribution (₹8.48L of ₹11.84L). The 'ads business' is really an 'organic business with an ad accelerator'.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The counter-intuitive Q4 result: break-even ad spend is ₹13.34L (an ACOS of ~111%) — ads could run hugely inefficiently and the business still survives, because organic subsidises it. So the real risk isn't ACOS alone, it's bad ACOS plus shrinking organic.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Scaling (Q6): doubling spend still adds ₹1.24L profit but returns thin (margin/unit ₹224→₹184). What you'd tell the brand: scale in stages and spend on things that also lift organic rank, because that margin doesn't decay.</w:t>
      </w:r>
    </w:p>
    <w:p>
      <w:pPr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Voice Note 3 — Task 3 Reflection (2–3 min, covers Part A + B)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Patterns across accounts: two of three clients asked the SAME report question → it's a design defect, not coincidence. UrbanPulse ate 12 hrs but feels like 'nothing happened' → invisible effort = churn risk. NestWell's idle Flipkart store = cross-sell signal.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What you'd flag beyond the update: make effort visible by default (a 'what we did + why' line on every report) — it fixes both the trust gap and would have surfaced the confusing-report problem earlier.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The shift from team-lead update to MD talking points: status update = patterns + fixes in KPI/ops language; MD = topline trajectory, margin mechanics (organic growth → margin improves), competitive gap, and a new-channel revenue case. Same data, different altitude. Say which numbers you'd stop using with the MD (ROAS, ACOS, negative keywords) and why.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What info you'd need that you don't have: total Amazon revenue, organic/paid split, true gross margin after fees+retainer, category size/rank, and the company's revenue target — so ideas are sized to the MD's ambition.</w:t>
      </w:r>
    </w:p>
    <w:p>
      <w:pPr>
        <w:pageBreakBefore/>
      </w:pPr>
    </w:p>
    <w:p>
      <w:pPr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Hand-Drawn Diagram (MANDATORY) — Psychology × Technology × Business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Draw on paper, pen/pencil, one page, messy is fine. </w:t>
      </w:r>
      <w:r>
        <w:rPr>
          <w:rFonts w:ascii="Calibri" w:cs="Calibri" w:eastAsia="Calibri" w:hAnsi="Calibri"/>
          <w:sz w:val="20"/>
          <w:szCs w:val="20"/>
        </w:rPr>
        <w:t xml:space="preserve">Do NOT use Canva/AI — they auto-reject digital diagrams. Below is a layout to draw from; change it so it's genuinely yours.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Three nodes in a triangle: PSYCHOLOGY (top), TECHNOLOGY (bottom-left), BUSINESS (bottom-right). Then draw labelled arrows BETWEEN them — the connections are what they grade: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Psychology → Technology: </w:t>
      </w:r>
      <w:r>
        <w:rPr>
          <w:rFonts w:ascii="Calibri" w:cs="Calibri" w:eastAsia="Calibri" w:hAnsi="Calibri"/>
          <w:sz w:val="20"/>
          <w:szCs w:val="20"/>
        </w:rPr>
        <w:t xml:space="preserve">a relevant click + a purchase = a strong CTR/conversion signal → the algorithm rewards the ad with better placement at lower cost-per-click. (Customer trust literally lowers ad cost.)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Technology → Business: </w:t>
      </w:r>
      <w:r>
        <w:rPr>
          <w:rFonts w:ascii="Calibri" w:cs="Calibri" w:eastAsia="Calibri" w:hAnsi="Calibri"/>
          <w:sz w:val="20"/>
          <w:szCs w:val="20"/>
        </w:rPr>
        <w:t xml:space="preserve">the platform attributes that sale and computes ROAS/ACOS → the brand manager reads those numbers and decides bids, budgets, keywords.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Business → Psychology: </w:t>
      </w:r>
      <w:r>
        <w:rPr>
          <w:rFonts w:ascii="Calibri" w:cs="Calibri" w:eastAsia="Calibri" w:hAnsi="Calibri"/>
          <w:sz w:val="20"/>
          <w:szCs w:val="20"/>
        </w:rPr>
        <w:t xml:space="preserve">margin decides how much the brand can spend on price/promo/better images → which changes whether the customer trusts and clicks in the first place. The loop closes.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Inner loop to show you get TACOS: </w:t>
      </w:r>
      <w:r>
        <w:rPr>
          <w:rFonts w:ascii="Calibri" w:cs="Calibri" w:eastAsia="Calibri" w:hAnsi="Calibri"/>
          <w:sz w:val="20"/>
          <w:szCs w:val="20"/>
        </w:rPr>
        <w:t xml:space="preserve">draw a feedback arrow — paid sales train the algorithm + build reviews/rank → organic sales rise → TACOS falls → margin improves → more room to invest. Label this 'the flywheel'.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Leak arrows (where margin escapes): </w:t>
      </w:r>
      <w:r>
        <w:rPr>
          <w:rFonts w:ascii="Calibri" w:cs="Calibri" w:eastAsia="Calibri" w:hAnsi="Calibri"/>
          <w:sz w:val="20"/>
          <w:szCs w:val="20"/>
        </w:rPr>
        <w:t xml:space="preserve">Amazon referral fee, ad cost per unit, COGS, weak listing → lost conversion. Show them draining out of the Business node.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Label every arrow with what flows along it (a click, a signal, a rupee, a number, a decision). Separate boxes with no arrows is the explicit failure mode they call out.</w:t>
      </w:r>
    </w:p>
    <w:p>
      <w:pPr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Hand-Drawn Mind-Map (Part C) — Your Process &amp; How You Controlled AI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Internshala instructions ask for a separate hand-drawn sketch/mind-map of HOW you worked. Draw these branches: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How I approached the problem: </w:t>
      </w:r>
      <w:r>
        <w:rPr>
          <w:rFonts w:ascii="Calibri" w:cs="Calibri" w:eastAsia="Calibri" w:hAnsi="Calibri"/>
          <w:sz w:val="20"/>
          <w:szCs w:val="20"/>
        </w:rPr>
        <w:t xml:space="preserve">Pareto 80/20 — read &amp; understood the economics first, executed second; unit economics before monthly totals.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How I controlled AI hallucination: </w:t>
      </w:r>
      <w:r>
        <w:rPr>
          <w:rFonts w:ascii="Calibri" w:cs="Calibri" w:eastAsia="Calibri" w:hAnsi="Calibri"/>
          <w:sz w:val="20"/>
          <w:szCs w:val="20"/>
        </w:rPr>
        <w:t xml:space="preserve">re-computed every figure independently and cross-checked the spreadsheet's recalculated outputs against my hand math (e.g. profit ₹10,34,000, TACOS 10.7%, break-even ₹13.34L all reconciled); used formulas not hardcoded numbers so the model is auditable.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Where I disagreed with AI / negative prompting: </w:t>
      </w:r>
      <w:r>
        <w:rPr>
          <w:rFonts w:ascii="Calibri" w:cs="Calibri" w:eastAsia="Calibri" w:hAnsi="Calibri"/>
          <w:sz w:val="20"/>
          <w:szCs w:val="20"/>
        </w:rPr>
        <w:t xml:space="preserve">note any point where you pushed back — e.g. insisting break-even hold ad-units constant and stating that assumption rather than accepting a vague answer; refusing AI-drawn diagrams because the brief auto-rejects them; telling the model NOT to invent benchmark ROAS figures it couldn't source.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How I aligned to the guidelines: </w:t>
      </w:r>
      <w:r>
        <w:rPr>
          <w:rFonts w:ascii="Calibri" w:cs="Calibri" w:eastAsia="Calibri" w:hAnsi="Calibri"/>
          <w:sz w:val="20"/>
          <w:szCs w:val="20"/>
        </w:rPr>
        <w:t xml:space="preserve">stated assumptions instead of waiting for clarification; partial-but-honest over fake-complete; kept MD vs POC language separate as the brief demanded.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Make these two drawings personal and slightly imperfect — that's the point. They are checking that a human thought about this.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08080"/>
        <w:sz w:val="16"/>
        <w:szCs w:val="16"/>
      </w:rPr>
      <w:t xml:space="preserve">Your Part — record &amp; draw yourself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2026-06-02T12:08:35.251Z</dcterms:created>
  <dcterms:modified xsi:type="dcterms:W3CDTF">2026-06-02T12:08:35.252Z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