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Task 1 — Campaign Viability Analysis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Brand: GlowNest — Premium Face Serum (Amazon India)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Stated assumptions (where the brief is silent): </w:t>
      </w:r>
      <w:r>
        <w:rPr>
          <w:rFonts w:ascii="Calibri" w:cs="Calibri" w:eastAsia="Calibri" w:hAnsi="Calibri"/>
          <w:sz w:val="20"/>
          <w:szCs w:val="20"/>
        </w:rPr>
        <w:t xml:space="preserve">organic units carry zero ad cost; the 3% retainer is treated as part of fixed costs unless separated; 'break-even ad spend' in Q4 means the spend level where total monthly profit = 0 while ad-attributed units are held at 1,500 (i.e. efficiency held constant). Each scenario changes only the variables it names.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Q1 — Unit Economics (ad-attributed sales)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Gross Margin /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 − COGS = 800 − 280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₹520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Amazon Fee /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 × 12% = 800 × 0.12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₹96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Cost /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Spend ÷ Ad Units = 3,00,000 ÷ 1,500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₹200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 Margin / ad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520 − 96 − 200</w:t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₹224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Read: after the platform takes ₹96 and advertising eats ₹200, GlowNest still keeps ₹224 on every ad-driven serum — a 28% net margin on price. Healthy room.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Q2 — Monthly Profitability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Organic units carry no ad cost, so their net margin is 520 − 96 = ₹424 each.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 Margin/unit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Ad-attributed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₹224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₹3,36,000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Organic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₹424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₹8,48,000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contribution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₹11,84,000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Less: fixed costs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(₹1,50,000)</w:t>
            </w:r>
          </w:p>
        </w:tc>
      </w:tr>
      <w:tr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Monthly Profit</w:t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₹10,34,000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Surprise worth flagging: </w:t>
      </w:r>
      <w:r>
        <w:rPr>
          <w:rFonts w:ascii="Calibri" w:cs="Calibri" w:eastAsia="Calibri" w:hAnsi="Calibri"/>
          <w:sz w:val="20"/>
          <w:szCs w:val="20"/>
        </w:rPr>
        <w:t xml:space="preserve">organic delivers 82% of contribution (₹8.48L of ₹11.84L) on units that cost nothing to advertise. The paid engine is real, but the business is already being carried by the brand equity built underneath it.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Q3 — ACOS and TACOS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Spend ÷ Ad Revenue = 3,00,000 ÷ (800×1,500)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25.0%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Spend ÷ Total Revenue = 3,00,000 ÷ 28,00,000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10.7%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Healthy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ACOS 25% means for every ₹100 of ad-driven revenue, ₹25 goes to ads — comfortably below the break-even ACOS for this margin (the product can sustain a far higher ACOS before a sale loses money). TACOS 10.7% is the truer health signal: ads are only ~11% of the whole revenue base, which means the brand is not living on rented traffic. For premium skincare, sub-15% TACOS is a good place to be.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Q4 — Break-Even Ad Spend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Holding ad-units at 1,500, every unit (paid or organic) still earns its ₹424 pre-ad-cost margin; the only thing rising is the ad bill. Profit hits zero when: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Max Ad Spend = (₹424 × 1,500) + (₹424 × 2,000) − ₹1,50,000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₹13,34,000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That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4.45× increase</w:t>
      </w:r>
      <w:r>
        <w:rPr>
          <w:rFonts w:ascii="Calibri" w:cs="Calibri" w:eastAsia="Calibri" w:hAnsi="Calibri"/>
          <w:sz w:val="20"/>
          <w:szCs w:val="20"/>
        </w:rPr>
        <w:t xml:space="preserve"> over today's ₹3L, corresponding to an ACOS of 13,34,000 ÷ 12,00,000 ≈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111%</w:t>
      </w:r>
      <w:r>
        <w:rPr>
          <w:rFonts w:ascii="Calibri" w:cs="Calibri" w:eastAsia="Calibri" w:hAnsi="Calibri"/>
          <w:sz w:val="20"/>
          <w:szCs w:val="20"/>
        </w:rPr>
        <w:t xml:space="preserve">. Interpretation: the campaign could run wildly inefficiently and the overall Amazon business would still break even — because organic profit subsidises it. The danger isn't ad inefficiency in isolation; it's ad inefficiency combined with falling organic volume.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Q5 — Scenario: Ad Efficiency Drops (ACOS → 40%, ad units → 1,200)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At 40% ACOS on 1,200 units: ad spend = 0.40 × (800 × 1,200) = ₹3,84,000, so ad cost/unit = ₹320. Net margin/ad unit = 520 − 96 − 320 = ₹104.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units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−300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 margin / ad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₹224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₹104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−₹120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Profit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₹10,34,000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₹8,22,800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−₹2,11,200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Recommendation: </w:t>
      </w:r>
      <w:r>
        <w:rPr>
          <w:rFonts w:ascii="Calibri" w:cs="Calibri" w:eastAsia="Calibri" w:hAnsi="Calibri"/>
          <w:sz w:val="20"/>
          <w:szCs w:val="20"/>
        </w:rPr>
        <w:t xml:space="preserve">profit drops ~20% but stays solidly positive — don't panic-cut. The double hit (fewer sales AND costlier sales) points to either bid inflation or weakening relevance. I'd pause the worst-ACOS keywords, run a search-term/negative-keyword audit, and protect the top converters before touching budget. Cutting spend blindly would also shrink the organic flywheel.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Q6 — Scenario: Scaling Up (spend → ₹6,00,000, ad units → 2,500)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 cost/unit = 6,00,000 ÷ 2,500 = ₹240. Net margin/ad unit = 520 − 96 − 240 = ₹184 (still positive). ACOS = 6,00,000 ÷ (800×2,500) = 30%.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Scaled</w:t>
            </w:r>
          </w:p>
        </w:tc>
        <w:tc>
          <w:tcPr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spend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₹3,00,000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₹6,00,000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+₹3,00,000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 units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+1,000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 margin / ad 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₹224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₹184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−₹40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Profit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₹10,34,000</w:t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₹11,58,000</w:t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+₹1,24,000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Verdict: </w:t>
      </w:r>
      <w:r>
        <w:rPr>
          <w:rFonts w:ascii="Calibri" w:cs="Calibri" w:eastAsia="Calibri" w:hAnsi="Calibri"/>
          <w:sz w:val="20"/>
          <w:szCs w:val="20"/>
        </w:rPr>
        <w:t xml:space="preserve">yes — cautiously. Doubling spend adds ₹1.24L/month in profit even with diminishing returns (each new unit is less efficient, margin slips ₹224→₹184, ACOS 25%→30%). It's still accretive because the incremental ₹184/unit beats zero. But the marginal ₹3L of spend produces only ₹1.24L of extra profit, so returns are clearly thinning. I'd scale in stages (e.g. +₹1L at a time), watch whether the 2,500-unit assumption holds, and stop the moment incremental ACOS pushes net margin/ad unit toward zero — the true ceiling is ₹424/unit of ad cost.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What I'd tell the brand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You're profitable and not over-dependent on ads (TACOS ~11%). Your real asset is the 2,000 organic units carrying the P&amp;L. Scaling ads works today but with thinning returns — so the smartest spend is whatever also compounds organic rank (reviews, listing quality, Sponsored Brand), because that's the margin that doesn't decay.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GlowNest Viability Analysis — Task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2026-06-02T12:06:52.316Z</dcterms:created>
  <dcterms:modified xsi:type="dcterms:W3CDTF">2026-06-02T12:06:52.316Z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