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43E" w:rsidRPr="008D73BA" w:rsidRDefault="00E9243E" w:rsidP="00E9243E">
      <w:pPr>
        <w:jc w:val="center"/>
        <w:rPr>
          <w:b/>
          <w:sz w:val="28"/>
        </w:rPr>
      </w:pPr>
      <w:r w:rsidRPr="008D73BA">
        <w:rPr>
          <w:b/>
          <w:sz w:val="28"/>
        </w:rPr>
        <w:t>Group 16</w:t>
      </w:r>
    </w:p>
    <w:p w:rsidR="00755C70" w:rsidRDefault="001A1761" w:rsidP="001A1761">
      <w:pPr>
        <w:jc w:val="center"/>
        <w:rPr>
          <w:b/>
          <w:sz w:val="28"/>
          <w:u w:val="single"/>
        </w:rPr>
      </w:pPr>
      <w:bookmarkStart w:id="0" w:name="_GoBack"/>
      <w:bookmarkEnd w:id="0"/>
      <w:r w:rsidRPr="001A1761">
        <w:rPr>
          <w:b/>
          <w:sz w:val="28"/>
          <w:u w:val="single"/>
        </w:rPr>
        <w:t>Data Visualization Case Study 2</w:t>
      </w:r>
    </w:p>
    <w:p w:rsidR="002F0677" w:rsidRPr="002F0677" w:rsidRDefault="002F0677" w:rsidP="002F0677">
      <w:pPr>
        <w:rPr>
          <w:sz w:val="24"/>
          <w:u w:val="single"/>
        </w:rPr>
      </w:pPr>
      <w:r w:rsidRPr="002F0677">
        <w:rPr>
          <w:sz w:val="24"/>
          <w:u w:val="single"/>
        </w:rPr>
        <w:t>Data Source</w:t>
      </w:r>
    </w:p>
    <w:p w:rsidR="002F0677" w:rsidRDefault="002F0677" w:rsidP="002F0677">
      <w:pPr>
        <w:rPr>
          <w:sz w:val="24"/>
        </w:rPr>
      </w:pPr>
      <w:r w:rsidRPr="00396580">
        <w:rPr>
          <w:b/>
          <w:sz w:val="24"/>
        </w:rPr>
        <w:t>Primary Dataset:</w:t>
      </w:r>
      <w:r>
        <w:rPr>
          <w:sz w:val="24"/>
        </w:rPr>
        <w:t xml:space="preserve"> Startup Venture Funding</w:t>
      </w:r>
      <w:r w:rsidR="00396580">
        <w:rPr>
          <w:sz w:val="24"/>
        </w:rPr>
        <w:t xml:space="preserve"> - </w:t>
      </w:r>
      <w:r w:rsidR="00396580" w:rsidRPr="00396580">
        <w:rPr>
          <w:sz w:val="24"/>
        </w:rPr>
        <w:t>Information about startup companies, investment</w:t>
      </w:r>
      <w:r w:rsidR="0051170E">
        <w:rPr>
          <w:sz w:val="24"/>
        </w:rPr>
        <w:t>s</w:t>
      </w:r>
      <w:r w:rsidR="00396580" w:rsidRPr="00396580">
        <w:rPr>
          <w:sz w:val="24"/>
        </w:rPr>
        <w:t>, and acquisitions via Crunchbase</w:t>
      </w:r>
    </w:p>
    <w:p w:rsidR="002F0677" w:rsidRDefault="002F0677" w:rsidP="002F0677">
      <w:pPr>
        <w:rPr>
          <w:sz w:val="24"/>
        </w:rPr>
      </w:pPr>
      <w:r>
        <w:rPr>
          <w:sz w:val="24"/>
        </w:rPr>
        <w:t xml:space="preserve">Link: </w:t>
      </w:r>
      <w:hyperlink r:id="rId5" w:history="1">
        <w:r w:rsidR="00FB307E" w:rsidRPr="00214768">
          <w:rPr>
            <w:rStyle w:val="Hyperlink"/>
            <w:sz w:val="24"/>
          </w:rPr>
          <w:t>https://public.tableau.com/s/resources</w:t>
        </w:r>
      </w:hyperlink>
    </w:p>
    <w:p w:rsidR="00FB307E" w:rsidRDefault="00FB307E" w:rsidP="002F0677">
      <w:pPr>
        <w:rPr>
          <w:sz w:val="24"/>
        </w:rPr>
      </w:pPr>
      <w:r>
        <w:rPr>
          <w:sz w:val="24"/>
        </w:rPr>
        <w:t xml:space="preserve">Once you are on the above provided web URL, locate the </w:t>
      </w:r>
      <w:r w:rsidRPr="00FB307E">
        <w:rPr>
          <w:i/>
          <w:sz w:val="24"/>
        </w:rPr>
        <w:t>Startup Venture Funding</w:t>
      </w:r>
      <w:r>
        <w:rPr>
          <w:sz w:val="24"/>
        </w:rPr>
        <w:t xml:space="preserve"> Sample Data Set under the </w:t>
      </w:r>
      <w:r w:rsidRPr="00FB307E">
        <w:rPr>
          <w:i/>
          <w:sz w:val="24"/>
        </w:rPr>
        <w:t>Technology</w:t>
      </w:r>
      <w:r>
        <w:rPr>
          <w:sz w:val="24"/>
        </w:rPr>
        <w:t xml:space="preserve"> subheading.</w:t>
      </w:r>
    </w:p>
    <w:p w:rsidR="005129AD" w:rsidRDefault="0051170E" w:rsidP="000740E0">
      <w:pPr>
        <w:rPr>
          <w:sz w:val="24"/>
        </w:rPr>
      </w:pPr>
      <w:r>
        <w:rPr>
          <w:sz w:val="24"/>
        </w:rPr>
        <w:t>The dataset was extracted from Crunchbase in Dec’14 and contains multiple workbooks pertaining to the Startup companies, their investment rounds, acquisitions history and other detail</w:t>
      </w:r>
      <w:r w:rsidR="00021A6E">
        <w:rPr>
          <w:sz w:val="24"/>
        </w:rPr>
        <w:t>s</w:t>
      </w:r>
      <w:r>
        <w:rPr>
          <w:sz w:val="24"/>
        </w:rPr>
        <w:t xml:space="preserve">. In our analysis, we have made use of the </w:t>
      </w:r>
      <w:r w:rsidRPr="00021A6E">
        <w:rPr>
          <w:sz w:val="24"/>
          <w:highlight w:val="yellow"/>
        </w:rPr>
        <w:t>Companies</w:t>
      </w:r>
      <w:r>
        <w:rPr>
          <w:sz w:val="24"/>
        </w:rPr>
        <w:t>, Investments</w:t>
      </w:r>
      <w:r w:rsidR="00021A6E">
        <w:rPr>
          <w:sz w:val="24"/>
        </w:rPr>
        <w:t xml:space="preserve"> and Rounds workbooks and our concentration has been towards the </w:t>
      </w:r>
      <w:r w:rsidR="00021A6E" w:rsidRPr="007344DA">
        <w:rPr>
          <w:sz w:val="24"/>
          <w:u w:val="single"/>
        </w:rPr>
        <w:t>US venture ca</w:t>
      </w:r>
      <w:r w:rsidR="007344DA" w:rsidRPr="007344DA">
        <w:rPr>
          <w:sz w:val="24"/>
          <w:u w:val="single"/>
        </w:rPr>
        <w:t>pital investments</w:t>
      </w:r>
      <w:r w:rsidR="007344DA" w:rsidRPr="007344DA">
        <w:rPr>
          <w:sz w:val="24"/>
        </w:rPr>
        <w:t xml:space="preserve"> for Startups</w:t>
      </w:r>
      <w:r w:rsidR="007344DA">
        <w:rPr>
          <w:sz w:val="24"/>
        </w:rPr>
        <w:t xml:space="preserve">. </w:t>
      </w:r>
    </w:p>
    <w:p w:rsidR="0051170E" w:rsidRDefault="007344DA" w:rsidP="002F0677">
      <w:pPr>
        <w:rPr>
          <w:sz w:val="24"/>
        </w:rPr>
      </w:pPr>
      <w:r>
        <w:rPr>
          <w:sz w:val="24"/>
        </w:rPr>
        <w:t xml:space="preserve">The following attributes have been used to bring more relevance to our </w:t>
      </w:r>
      <w:r w:rsidR="005129AD">
        <w:rPr>
          <w:sz w:val="24"/>
        </w:rPr>
        <w:t>analysis:</w:t>
      </w:r>
    </w:p>
    <w:p w:rsidR="005129AD" w:rsidRPr="005129AD" w:rsidRDefault="005129AD" w:rsidP="002F0677">
      <w:pPr>
        <w:rPr>
          <w:sz w:val="24"/>
        </w:rPr>
      </w:pPr>
      <w:r>
        <w:rPr>
          <w:sz w:val="24"/>
        </w:rPr>
        <w:t xml:space="preserve">Investments - </w:t>
      </w:r>
    </w:p>
    <w:tbl>
      <w:tblPr>
        <w:tblW w:w="2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0"/>
      </w:tblGrid>
      <w:tr w:rsidR="009E7A70" w:rsidRPr="009E7A70" w:rsidTr="009E7A70">
        <w:trPr>
          <w:trHeight w:val="312"/>
        </w:trPr>
        <w:tc>
          <w:tcPr>
            <w:tcW w:w="290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company_permalink</w:t>
            </w:r>
            <w:proofErr w:type="spellEnd"/>
          </w:p>
        </w:tc>
      </w:tr>
      <w:tr w:rsidR="009E7A70" w:rsidRPr="009E7A70" w:rsidTr="009E7A70">
        <w:trPr>
          <w:trHeight w:val="312"/>
        </w:trPr>
        <w:tc>
          <w:tcPr>
            <w:tcW w:w="290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company_name</w:t>
            </w:r>
            <w:proofErr w:type="spellEnd"/>
          </w:p>
        </w:tc>
      </w:tr>
      <w:tr w:rsidR="009E7A70" w:rsidRPr="009E7A70" w:rsidTr="009E7A70">
        <w:trPr>
          <w:trHeight w:val="312"/>
        </w:trPr>
        <w:tc>
          <w:tcPr>
            <w:tcW w:w="290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company_category_list</w:t>
            </w:r>
            <w:proofErr w:type="spellEnd"/>
          </w:p>
        </w:tc>
      </w:tr>
      <w:tr w:rsidR="009E7A70" w:rsidRPr="009E7A70" w:rsidTr="009E7A70">
        <w:trPr>
          <w:trHeight w:val="312"/>
        </w:trPr>
        <w:tc>
          <w:tcPr>
            <w:tcW w:w="290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company_market</w:t>
            </w:r>
            <w:proofErr w:type="spellEnd"/>
          </w:p>
        </w:tc>
      </w:tr>
      <w:tr w:rsidR="009E7A70" w:rsidRPr="009E7A70" w:rsidTr="009E7A70">
        <w:trPr>
          <w:trHeight w:val="312"/>
        </w:trPr>
        <w:tc>
          <w:tcPr>
            <w:tcW w:w="290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company_country_code</w:t>
            </w:r>
            <w:proofErr w:type="spellEnd"/>
          </w:p>
        </w:tc>
      </w:tr>
      <w:tr w:rsidR="009E7A70" w:rsidRPr="009E7A70" w:rsidTr="009E7A70">
        <w:trPr>
          <w:trHeight w:val="312"/>
        </w:trPr>
        <w:tc>
          <w:tcPr>
            <w:tcW w:w="290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company_state_code</w:t>
            </w:r>
            <w:proofErr w:type="spellEnd"/>
          </w:p>
        </w:tc>
      </w:tr>
      <w:tr w:rsidR="009E7A70" w:rsidRPr="009E7A70" w:rsidTr="009E7A70">
        <w:trPr>
          <w:trHeight w:val="312"/>
        </w:trPr>
        <w:tc>
          <w:tcPr>
            <w:tcW w:w="290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company_region</w:t>
            </w:r>
            <w:proofErr w:type="spellEnd"/>
          </w:p>
        </w:tc>
      </w:tr>
      <w:tr w:rsidR="009E7A70" w:rsidRPr="009E7A70" w:rsidTr="009E7A70">
        <w:trPr>
          <w:trHeight w:val="312"/>
        </w:trPr>
        <w:tc>
          <w:tcPr>
            <w:tcW w:w="290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company_city</w:t>
            </w:r>
            <w:proofErr w:type="spellEnd"/>
          </w:p>
        </w:tc>
      </w:tr>
      <w:tr w:rsidR="009E7A70" w:rsidRPr="009E7A70" w:rsidTr="009E7A70">
        <w:trPr>
          <w:trHeight w:val="312"/>
        </w:trPr>
        <w:tc>
          <w:tcPr>
            <w:tcW w:w="290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investor_permalink</w:t>
            </w:r>
            <w:proofErr w:type="spellEnd"/>
          </w:p>
        </w:tc>
      </w:tr>
      <w:tr w:rsidR="009E7A70" w:rsidRPr="009E7A70" w:rsidTr="009E7A70">
        <w:trPr>
          <w:trHeight w:val="312"/>
        </w:trPr>
        <w:tc>
          <w:tcPr>
            <w:tcW w:w="290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investor_name</w:t>
            </w:r>
            <w:proofErr w:type="spellEnd"/>
          </w:p>
        </w:tc>
      </w:tr>
      <w:tr w:rsidR="009E7A70" w:rsidRPr="009E7A70" w:rsidTr="009E7A70">
        <w:trPr>
          <w:trHeight w:val="312"/>
        </w:trPr>
        <w:tc>
          <w:tcPr>
            <w:tcW w:w="290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investor_category_list</w:t>
            </w:r>
            <w:proofErr w:type="spellEnd"/>
          </w:p>
        </w:tc>
      </w:tr>
      <w:tr w:rsidR="009E7A70" w:rsidRPr="009E7A70" w:rsidTr="009E7A70">
        <w:trPr>
          <w:trHeight w:val="312"/>
        </w:trPr>
        <w:tc>
          <w:tcPr>
            <w:tcW w:w="290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investor_market</w:t>
            </w:r>
            <w:proofErr w:type="spellEnd"/>
          </w:p>
        </w:tc>
      </w:tr>
      <w:tr w:rsidR="009E7A70" w:rsidRPr="009E7A70" w:rsidTr="009E7A70">
        <w:trPr>
          <w:trHeight w:val="312"/>
        </w:trPr>
        <w:tc>
          <w:tcPr>
            <w:tcW w:w="290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investor_country_code</w:t>
            </w:r>
            <w:proofErr w:type="spellEnd"/>
          </w:p>
        </w:tc>
      </w:tr>
      <w:tr w:rsidR="009E7A70" w:rsidRPr="009E7A70" w:rsidTr="009E7A70">
        <w:trPr>
          <w:trHeight w:val="312"/>
        </w:trPr>
        <w:tc>
          <w:tcPr>
            <w:tcW w:w="290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investor_state_code</w:t>
            </w:r>
            <w:proofErr w:type="spellEnd"/>
          </w:p>
        </w:tc>
      </w:tr>
      <w:tr w:rsidR="009E7A70" w:rsidRPr="009E7A70" w:rsidTr="009E7A70">
        <w:trPr>
          <w:trHeight w:val="312"/>
        </w:trPr>
        <w:tc>
          <w:tcPr>
            <w:tcW w:w="290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investor_region</w:t>
            </w:r>
            <w:proofErr w:type="spellEnd"/>
          </w:p>
        </w:tc>
      </w:tr>
      <w:tr w:rsidR="009E7A70" w:rsidRPr="009E7A70" w:rsidTr="009E7A70">
        <w:trPr>
          <w:trHeight w:val="312"/>
        </w:trPr>
        <w:tc>
          <w:tcPr>
            <w:tcW w:w="290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investor_city</w:t>
            </w:r>
            <w:proofErr w:type="spellEnd"/>
          </w:p>
        </w:tc>
      </w:tr>
      <w:tr w:rsidR="009E7A70" w:rsidRPr="009E7A70" w:rsidTr="009E7A70">
        <w:trPr>
          <w:trHeight w:val="312"/>
        </w:trPr>
        <w:tc>
          <w:tcPr>
            <w:tcW w:w="290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funding_round_permalink</w:t>
            </w:r>
            <w:proofErr w:type="spellEnd"/>
          </w:p>
        </w:tc>
      </w:tr>
      <w:tr w:rsidR="009E7A70" w:rsidRPr="009E7A70" w:rsidTr="009E7A70">
        <w:trPr>
          <w:trHeight w:val="312"/>
        </w:trPr>
        <w:tc>
          <w:tcPr>
            <w:tcW w:w="290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funding_round_type</w:t>
            </w:r>
            <w:proofErr w:type="spellEnd"/>
          </w:p>
        </w:tc>
      </w:tr>
      <w:tr w:rsidR="009E7A70" w:rsidRPr="009E7A70" w:rsidTr="009E7A70">
        <w:trPr>
          <w:trHeight w:val="312"/>
        </w:trPr>
        <w:tc>
          <w:tcPr>
            <w:tcW w:w="290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funding_round_code</w:t>
            </w:r>
            <w:proofErr w:type="spellEnd"/>
          </w:p>
        </w:tc>
      </w:tr>
      <w:tr w:rsidR="009E7A70" w:rsidRPr="009E7A70" w:rsidTr="009E7A70">
        <w:trPr>
          <w:trHeight w:val="312"/>
        </w:trPr>
        <w:tc>
          <w:tcPr>
            <w:tcW w:w="290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funded_at</w:t>
            </w:r>
            <w:proofErr w:type="spellEnd"/>
          </w:p>
        </w:tc>
      </w:tr>
      <w:tr w:rsidR="009E7A70" w:rsidRPr="009E7A70" w:rsidTr="009E7A70">
        <w:trPr>
          <w:trHeight w:val="312"/>
        </w:trPr>
        <w:tc>
          <w:tcPr>
            <w:tcW w:w="290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lastRenderedPageBreak/>
              <w:t>funded_month</w:t>
            </w:r>
            <w:proofErr w:type="spellEnd"/>
          </w:p>
        </w:tc>
      </w:tr>
      <w:tr w:rsidR="009E7A70" w:rsidRPr="009E7A70" w:rsidTr="009E7A70">
        <w:trPr>
          <w:trHeight w:val="312"/>
        </w:trPr>
        <w:tc>
          <w:tcPr>
            <w:tcW w:w="290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funded_quarter</w:t>
            </w:r>
            <w:proofErr w:type="spellEnd"/>
          </w:p>
        </w:tc>
      </w:tr>
      <w:tr w:rsidR="009E7A70" w:rsidRPr="009E7A70" w:rsidTr="009E7A70">
        <w:trPr>
          <w:trHeight w:val="312"/>
        </w:trPr>
        <w:tc>
          <w:tcPr>
            <w:tcW w:w="290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funded_year</w:t>
            </w:r>
            <w:proofErr w:type="spellEnd"/>
          </w:p>
        </w:tc>
      </w:tr>
      <w:tr w:rsidR="009E7A70" w:rsidRPr="009E7A70" w:rsidTr="009E7A70">
        <w:trPr>
          <w:trHeight w:val="312"/>
        </w:trPr>
        <w:tc>
          <w:tcPr>
            <w:tcW w:w="290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raised_amount_usd</w:t>
            </w:r>
            <w:proofErr w:type="spellEnd"/>
          </w:p>
        </w:tc>
      </w:tr>
    </w:tbl>
    <w:p w:rsidR="007A3C8C" w:rsidRDefault="007A3C8C" w:rsidP="002F0677">
      <w:pPr>
        <w:rPr>
          <w:sz w:val="24"/>
        </w:rPr>
      </w:pPr>
    </w:p>
    <w:p w:rsidR="009E7A70" w:rsidRDefault="009E7A70" w:rsidP="002F0677">
      <w:pPr>
        <w:rPr>
          <w:sz w:val="24"/>
        </w:rPr>
      </w:pPr>
      <w:r>
        <w:rPr>
          <w:sz w:val="24"/>
        </w:rPr>
        <w:t>Rounds –</w:t>
      </w:r>
    </w:p>
    <w:tbl>
      <w:tblPr>
        <w:tblW w:w="2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0"/>
      </w:tblGrid>
      <w:tr w:rsidR="009E7A70" w:rsidRPr="009E7A70" w:rsidTr="009E7A70">
        <w:trPr>
          <w:trHeight w:val="312"/>
        </w:trPr>
        <w:tc>
          <w:tcPr>
            <w:tcW w:w="278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company_permalink</w:t>
            </w:r>
            <w:proofErr w:type="spellEnd"/>
          </w:p>
        </w:tc>
      </w:tr>
      <w:tr w:rsidR="009E7A70" w:rsidRPr="009E7A70" w:rsidTr="009E7A70">
        <w:trPr>
          <w:trHeight w:val="312"/>
        </w:trPr>
        <w:tc>
          <w:tcPr>
            <w:tcW w:w="278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company_name</w:t>
            </w:r>
            <w:proofErr w:type="spellEnd"/>
          </w:p>
        </w:tc>
      </w:tr>
      <w:tr w:rsidR="009E7A70" w:rsidRPr="009E7A70" w:rsidTr="009E7A70">
        <w:trPr>
          <w:trHeight w:val="312"/>
        </w:trPr>
        <w:tc>
          <w:tcPr>
            <w:tcW w:w="278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company_category_list</w:t>
            </w:r>
            <w:proofErr w:type="spellEnd"/>
          </w:p>
        </w:tc>
      </w:tr>
      <w:tr w:rsidR="009E7A70" w:rsidRPr="009E7A70" w:rsidTr="009E7A70">
        <w:trPr>
          <w:trHeight w:val="312"/>
        </w:trPr>
        <w:tc>
          <w:tcPr>
            <w:tcW w:w="278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company_market</w:t>
            </w:r>
            <w:proofErr w:type="spellEnd"/>
          </w:p>
        </w:tc>
      </w:tr>
      <w:tr w:rsidR="009E7A70" w:rsidRPr="009E7A70" w:rsidTr="009E7A70">
        <w:trPr>
          <w:trHeight w:val="312"/>
        </w:trPr>
        <w:tc>
          <w:tcPr>
            <w:tcW w:w="278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company_country_code</w:t>
            </w:r>
            <w:proofErr w:type="spellEnd"/>
          </w:p>
        </w:tc>
      </w:tr>
      <w:tr w:rsidR="009E7A70" w:rsidRPr="009E7A70" w:rsidTr="009E7A70">
        <w:trPr>
          <w:trHeight w:val="312"/>
        </w:trPr>
        <w:tc>
          <w:tcPr>
            <w:tcW w:w="278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company_state_code</w:t>
            </w:r>
            <w:proofErr w:type="spellEnd"/>
          </w:p>
        </w:tc>
      </w:tr>
      <w:tr w:rsidR="009E7A70" w:rsidRPr="009E7A70" w:rsidTr="009E7A70">
        <w:trPr>
          <w:trHeight w:val="312"/>
        </w:trPr>
        <w:tc>
          <w:tcPr>
            <w:tcW w:w="278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company_region</w:t>
            </w:r>
            <w:proofErr w:type="spellEnd"/>
          </w:p>
        </w:tc>
      </w:tr>
      <w:tr w:rsidR="009E7A70" w:rsidRPr="009E7A70" w:rsidTr="009E7A70">
        <w:trPr>
          <w:trHeight w:val="312"/>
        </w:trPr>
        <w:tc>
          <w:tcPr>
            <w:tcW w:w="278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company_city</w:t>
            </w:r>
            <w:proofErr w:type="spellEnd"/>
          </w:p>
        </w:tc>
      </w:tr>
      <w:tr w:rsidR="009E7A70" w:rsidRPr="009E7A70" w:rsidTr="009E7A70">
        <w:trPr>
          <w:trHeight w:val="312"/>
        </w:trPr>
        <w:tc>
          <w:tcPr>
            <w:tcW w:w="278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funding_round_permalink</w:t>
            </w:r>
            <w:proofErr w:type="spellEnd"/>
          </w:p>
        </w:tc>
      </w:tr>
      <w:tr w:rsidR="009E7A70" w:rsidRPr="009E7A70" w:rsidTr="009E7A70">
        <w:trPr>
          <w:trHeight w:val="312"/>
        </w:trPr>
        <w:tc>
          <w:tcPr>
            <w:tcW w:w="278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funding_round_type</w:t>
            </w:r>
            <w:proofErr w:type="spellEnd"/>
          </w:p>
        </w:tc>
      </w:tr>
      <w:tr w:rsidR="009E7A70" w:rsidRPr="009E7A70" w:rsidTr="009E7A70">
        <w:trPr>
          <w:trHeight w:val="312"/>
        </w:trPr>
        <w:tc>
          <w:tcPr>
            <w:tcW w:w="278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funding_round_code</w:t>
            </w:r>
            <w:proofErr w:type="spellEnd"/>
          </w:p>
        </w:tc>
      </w:tr>
      <w:tr w:rsidR="009E7A70" w:rsidRPr="009E7A70" w:rsidTr="009E7A70">
        <w:trPr>
          <w:trHeight w:val="312"/>
        </w:trPr>
        <w:tc>
          <w:tcPr>
            <w:tcW w:w="278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funded_at</w:t>
            </w:r>
            <w:proofErr w:type="spellEnd"/>
          </w:p>
        </w:tc>
      </w:tr>
      <w:tr w:rsidR="009E7A70" w:rsidRPr="009E7A70" w:rsidTr="009E7A70">
        <w:trPr>
          <w:trHeight w:val="312"/>
        </w:trPr>
        <w:tc>
          <w:tcPr>
            <w:tcW w:w="278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funded_month</w:t>
            </w:r>
            <w:proofErr w:type="spellEnd"/>
          </w:p>
        </w:tc>
      </w:tr>
      <w:tr w:rsidR="009E7A70" w:rsidRPr="009E7A70" w:rsidTr="009E7A70">
        <w:trPr>
          <w:trHeight w:val="312"/>
        </w:trPr>
        <w:tc>
          <w:tcPr>
            <w:tcW w:w="278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r w:rsidRPr="009E7A70">
              <w:rPr>
                <w:rFonts w:ascii="Calibri" w:eastAsia="Times New Roman" w:hAnsi="Calibri" w:cs="Times New Roman"/>
                <w:color w:val="000000"/>
                <w:sz w:val="24"/>
                <w:szCs w:val="24"/>
              </w:rPr>
              <w:t xml:space="preserve"> </w:t>
            </w:r>
            <w:proofErr w:type="spellStart"/>
            <w:r w:rsidRPr="009E7A70">
              <w:rPr>
                <w:rFonts w:ascii="Calibri" w:eastAsia="Times New Roman" w:hAnsi="Calibri" w:cs="Times New Roman"/>
                <w:color w:val="000000"/>
                <w:sz w:val="24"/>
                <w:szCs w:val="24"/>
              </w:rPr>
              <w:t>funded_quarter</w:t>
            </w:r>
            <w:proofErr w:type="spellEnd"/>
            <w:r w:rsidRPr="009E7A70">
              <w:rPr>
                <w:rFonts w:ascii="Calibri" w:eastAsia="Times New Roman" w:hAnsi="Calibri" w:cs="Times New Roman"/>
                <w:color w:val="000000"/>
                <w:sz w:val="24"/>
                <w:szCs w:val="24"/>
              </w:rPr>
              <w:t xml:space="preserve"> </w:t>
            </w:r>
          </w:p>
        </w:tc>
      </w:tr>
      <w:tr w:rsidR="009E7A70" w:rsidRPr="009E7A70" w:rsidTr="009E7A70">
        <w:trPr>
          <w:trHeight w:val="312"/>
        </w:trPr>
        <w:tc>
          <w:tcPr>
            <w:tcW w:w="278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proofErr w:type="spellStart"/>
            <w:r w:rsidRPr="009E7A70">
              <w:rPr>
                <w:rFonts w:ascii="Calibri" w:eastAsia="Times New Roman" w:hAnsi="Calibri" w:cs="Times New Roman"/>
                <w:color w:val="000000"/>
                <w:sz w:val="24"/>
                <w:szCs w:val="24"/>
              </w:rPr>
              <w:t>funded_year</w:t>
            </w:r>
            <w:proofErr w:type="spellEnd"/>
          </w:p>
        </w:tc>
      </w:tr>
      <w:tr w:rsidR="009E7A70" w:rsidRPr="009E7A70" w:rsidTr="009E7A70">
        <w:trPr>
          <w:trHeight w:val="312"/>
        </w:trPr>
        <w:tc>
          <w:tcPr>
            <w:tcW w:w="2780" w:type="dxa"/>
            <w:shd w:val="clear" w:color="auto" w:fill="auto"/>
            <w:noWrap/>
            <w:vAlign w:val="bottom"/>
            <w:hideMark/>
          </w:tcPr>
          <w:p w:rsidR="009E7A70" w:rsidRPr="009E7A70" w:rsidRDefault="009E7A70" w:rsidP="009E7A70">
            <w:pPr>
              <w:spacing w:after="0" w:line="240" w:lineRule="auto"/>
              <w:rPr>
                <w:rFonts w:ascii="Calibri" w:eastAsia="Times New Roman" w:hAnsi="Calibri" w:cs="Times New Roman"/>
                <w:color w:val="000000"/>
                <w:sz w:val="24"/>
                <w:szCs w:val="24"/>
              </w:rPr>
            </w:pPr>
            <w:r w:rsidRPr="009E7A70">
              <w:rPr>
                <w:rFonts w:ascii="Calibri" w:eastAsia="Times New Roman" w:hAnsi="Calibri" w:cs="Times New Roman"/>
                <w:color w:val="000000"/>
                <w:sz w:val="24"/>
                <w:szCs w:val="24"/>
              </w:rPr>
              <w:t xml:space="preserve"> </w:t>
            </w:r>
            <w:proofErr w:type="spellStart"/>
            <w:r w:rsidRPr="009E7A70">
              <w:rPr>
                <w:rFonts w:ascii="Calibri" w:eastAsia="Times New Roman" w:hAnsi="Calibri" w:cs="Times New Roman"/>
                <w:color w:val="000000"/>
                <w:sz w:val="24"/>
                <w:szCs w:val="24"/>
              </w:rPr>
              <w:t>raised_amount_usd</w:t>
            </w:r>
            <w:proofErr w:type="spellEnd"/>
            <w:r w:rsidRPr="009E7A70">
              <w:rPr>
                <w:rFonts w:ascii="Calibri" w:eastAsia="Times New Roman" w:hAnsi="Calibri" w:cs="Times New Roman"/>
                <w:color w:val="000000"/>
                <w:sz w:val="24"/>
                <w:szCs w:val="24"/>
              </w:rPr>
              <w:t xml:space="preserve"> </w:t>
            </w:r>
          </w:p>
        </w:tc>
      </w:tr>
    </w:tbl>
    <w:p w:rsidR="008C34EF" w:rsidRDefault="008C34EF" w:rsidP="002F0677">
      <w:pPr>
        <w:rPr>
          <w:sz w:val="24"/>
        </w:rPr>
      </w:pPr>
    </w:p>
    <w:p w:rsidR="008C34EF" w:rsidRDefault="008C34EF" w:rsidP="002F0677">
      <w:pPr>
        <w:rPr>
          <w:sz w:val="24"/>
        </w:rPr>
      </w:pPr>
      <w:r w:rsidRPr="008C34EF">
        <w:rPr>
          <w:b/>
          <w:sz w:val="24"/>
        </w:rPr>
        <w:t>Secondary Dataset:</w:t>
      </w:r>
      <w:r>
        <w:rPr>
          <w:b/>
          <w:sz w:val="24"/>
        </w:rPr>
        <w:t xml:space="preserve"> </w:t>
      </w:r>
      <w:r w:rsidRPr="008C34EF">
        <w:rPr>
          <w:sz w:val="24"/>
        </w:rPr>
        <w:t>US House Price Index</w:t>
      </w:r>
    </w:p>
    <w:p w:rsidR="008C34EF" w:rsidRDefault="008C34EF" w:rsidP="002F0677">
      <w:pPr>
        <w:rPr>
          <w:sz w:val="24"/>
        </w:rPr>
      </w:pPr>
      <w:r>
        <w:rPr>
          <w:sz w:val="24"/>
        </w:rPr>
        <w:t xml:space="preserve">Link: </w:t>
      </w:r>
      <w:hyperlink r:id="rId6" w:anchor="data" w:history="1">
        <w:r w:rsidRPr="00214768">
          <w:rPr>
            <w:rStyle w:val="Hyperlink"/>
            <w:sz w:val="24"/>
          </w:rPr>
          <w:t>http://data.okfn.org/data/core/house-prices-us#data</w:t>
        </w:r>
      </w:hyperlink>
    </w:p>
    <w:p w:rsidR="008C34EF" w:rsidRDefault="00C008E3" w:rsidP="002F0677">
      <w:pPr>
        <w:rPr>
          <w:sz w:val="24"/>
        </w:rPr>
      </w:pPr>
      <w:r>
        <w:rPr>
          <w:sz w:val="24"/>
        </w:rPr>
        <w:t>The data comes from Standard &amp; Poors</w:t>
      </w:r>
      <w:r w:rsidR="0018665A">
        <w:rPr>
          <w:sz w:val="24"/>
        </w:rPr>
        <w:t>’</w:t>
      </w:r>
      <w:r>
        <w:rPr>
          <w:sz w:val="24"/>
        </w:rPr>
        <w:t xml:space="preserve"> Case-Shiller data </w:t>
      </w:r>
      <w:r w:rsidR="00486725">
        <w:rPr>
          <w:sz w:val="24"/>
        </w:rPr>
        <w:t>and</w:t>
      </w:r>
      <w:r w:rsidR="00761629">
        <w:rPr>
          <w:sz w:val="24"/>
        </w:rPr>
        <w:t xml:space="preserve"> </w:t>
      </w:r>
      <w:r>
        <w:rPr>
          <w:sz w:val="24"/>
        </w:rPr>
        <w:t xml:space="preserve">includes </w:t>
      </w:r>
      <w:r w:rsidR="00486725">
        <w:rPr>
          <w:sz w:val="24"/>
        </w:rPr>
        <w:t xml:space="preserve">both the </w:t>
      </w:r>
      <w:r>
        <w:rPr>
          <w:sz w:val="24"/>
        </w:rPr>
        <w:t xml:space="preserve">National </w:t>
      </w:r>
      <w:r w:rsidR="00761629">
        <w:rPr>
          <w:sz w:val="24"/>
        </w:rPr>
        <w:t xml:space="preserve">Home Price </w:t>
      </w:r>
      <w:r w:rsidR="00486725">
        <w:rPr>
          <w:sz w:val="24"/>
        </w:rPr>
        <w:t xml:space="preserve">(single-family) </w:t>
      </w:r>
      <w:r>
        <w:rPr>
          <w:sz w:val="24"/>
        </w:rPr>
        <w:t xml:space="preserve">Index and </w:t>
      </w:r>
      <w:r w:rsidR="00486725">
        <w:rPr>
          <w:sz w:val="24"/>
        </w:rPr>
        <w:t>i</w:t>
      </w:r>
      <w:r>
        <w:rPr>
          <w:sz w:val="24"/>
        </w:rPr>
        <w:t xml:space="preserve">ndices for 20 metropolitan regions. </w:t>
      </w:r>
      <w:r w:rsidR="000A63E1">
        <w:rPr>
          <w:sz w:val="24"/>
        </w:rPr>
        <w:t xml:space="preserve">In our analysis, we have made use of the indices for the metropolitan regions </w:t>
      </w:r>
      <w:r w:rsidR="00B92BBF">
        <w:rPr>
          <w:sz w:val="24"/>
        </w:rPr>
        <w:t>but</w:t>
      </w:r>
      <w:r w:rsidR="000A63E1">
        <w:rPr>
          <w:sz w:val="24"/>
        </w:rPr>
        <w:t xml:space="preserve"> </w:t>
      </w:r>
      <w:r w:rsidR="00B92BBF">
        <w:rPr>
          <w:sz w:val="24"/>
        </w:rPr>
        <w:t xml:space="preserve">not the National and Composite Indices. </w:t>
      </w:r>
      <w:r w:rsidR="00486725" w:rsidRPr="00486725">
        <w:rPr>
          <w:sz w:val="24"/>
          <w:highlight w:val="yellow"/>
        </w:rPr>
        <w:t xml:space="preserve">This </w:t>
      </w:r>
      <w:r w:rsidR="0018665A" w:rsidRPr="00486725">
        <w:rPr>
          <w:sz w:val="24"/>
          <w:highlight w:val="yellow"/>
        </w:rPr>
        <w:t>seeks to measure changes in the total value of all existing single-family housing stock.</w:t>
      </w:r>
    </w:p>
    <w:p w:rsidR="00135DFE" w:rsidRDefault="00135DFE" w:rsidP="002F0677">
      <w:pPr>
        <w:rPr>
          <w:sz w:val="24"/>
        </w:rPr>
      </w:pPr>
      <w:r>
        <w:rPr>
          <w:sz w:val="24"/>
        </w:rPr>
        <w:t>The following attributes have been used to bring more relevance to our analysis:</w:t>
      </w:r>
    </w:p>
    <w:tbl>
      <w:tblPr>
        <w:tblW w:w="2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tblGrid>
      <w:tr w:rsidR="00135DFE" w:rsidRPr="00135DFE" w:rsidTr="00135DFE">
        <w:trPr>
          <w:trHeight w:val="324"/>
        </w:trPr>
        <w:tc>
          <w:tcPr>
            <w:tcW w:w="2245" w:type="dxa"/>
            <w:shd w:val="clear" w:color="auto" w:fill="auto"/>
            <w:noWrap/>
            <w:vAlign w:val="bottom"/>
            <w:hideMark/>
          </w:tcPr>
          <w:p w:rsidR="00135DFE" w:rsidRPr="00135DFE" w:rsidRDefault="00135DFE" w:rsidP="00135DFE">
            <w:pPr>
              <w:spacing w:after="0" w:line="240" w:lineRule="auto"/>
              <w:rPr>
                <w:rFonts w:ascii="Calibri" w:eastAsia="Times New Roman" w:hAnsi="Calibri" w:cs="Times New Roman"/>
                <w:color w:val="000000"/>
                <w:sz w:val="24"/>
                <w:szCs w:val="24"/>
              </w:rPr>
            </w:pPr>
            <w:r w:rsidRPr="00135DFE">
              <w:rPr>
                <w:rFonts w:ascii="Calibri" w:eastAsia="Times New Roman" w:hAnsi="Calibri" w:cs="Times New Roman"/>
                <w:color w:val="000000"/>
                <w:sz w:val="24"/>
                <w:szCs w:val="24"/>
              </w:rPr>
              <w:t>Date</w:t>
            </w:r>
          </w:p>
        </w:tc>
      </w:tr>
      <w:tr w:rsidR="00135DFE" w:rsidRPr="00135DFE" w:rsidTr="00135DFE">
        <w:trPr>
          <w:trHeight w:val="324"/>
        </w:trPr>
        <w:tc>
          <w:tcPr>
            <w:tcW w:w="2245" w:type="dxa"/>
            <w:shd w:val="clear" w:color="auto" w:fill="auto"/>
            <w:noWrap/>
            <w:vAlign w:val="bottom"/>
            <w:hideMark/>
          </w:tcPr>
          <w:p w:rsidR="00135DFE" w:rsidRPr="00135DFE" w:rsidRDefault="00135DFE" w:rsidP="00135DFE">
            <w:pPr>
              <w:spacing w:after="0" w:line="240" w:lineRule="auto"/>
              <w:rPr>
                <w:rFonts w:ascii="Calibri" w:eastAsia="Times New Roman" w:hAnsi="Calibri" w:cs="Times New Roman"/>
                <w:color w:val="000000"/>
                <w:sz w:val="24"/>
                <w:szCs w:val="24"/>
              </w:rPr>
            </w:pPr>
            <w:r w:rsidRPr="00135DFE">
              <w:rPr>
                <w:rFonts w:ascii="Calibri" w:eastAsia="Times New Roman" w:hAnsi="Calibri" w:cs="Times New Roman"/>
                <w:color w:val="000000"/>
                <w:sz w:val="24"/>
                <w:szCs w:val="24"/>
              </w:rPr>
              <w:t>AZ-Phoenix</w:t>
            </w:r>
          </w:p>
        </w:tc>
      </w:tr>
      <w:tr w:rsidR="00135DFE" w:rsidRPr="00135DFE" w:rsidTr="00135DFE">
        <w:trPr>
          <w:trHeight w:val="324"/>
        </w:trPr>
        <w:tc>
          <w:tcPr>
            <w:tcW w:w="2245" w:type="dxa"/>
            <w:shd w:val="clear" w:color="auto" w:fill="auto"/>
            <w:noWrap/>
            <w:vAlign w:val="bottom"/>
            <w:hideMark/>
          </w:tcPr>
          <w:p w:rsidR="00135DFE" w:rsidRPr="00135DFE" w:rsidRDefault="00135DFE" w:rsidP="00135DFE">
            <w:pPr>
              <w:spacing w:after="0" w:line="240" w:lineRule="auto"/>
              <w:rPr>
                <w:rFonts w:ascii="Calibri" w:eastAsia="Times New Roman" w:hAnsi="Calibri" w:cs="Times New Roman"/>
                <w:color w:val="000000"/>
                <w:sz w:val="24"/>
                <w:szCs w:val="24"/>
              </w:rPr>
            </w:pPr>
            <w:r w:rsidRPr="00135DFE">
              <w:rPr>
                <w:rFonts w:ascii="Calibri" w:eastAsia="Times New Roman" w:hAnsi="Calibri" w:cs="Times New Roman"/>
                <w:color w:val="000000"/>
                <w:sz w:val="24"/>
                <w:szCs w:val="24"/>
              </w:rPr>
              <w:t>CA-Los Angeles</w:t>
            </w:r>
          </w:p>
        </w:tc>
      </w:tr>
      <w:tr w:rsidR="00135DFE" w:rsidRPr="00135DFE" w:rsidTr="00135DFE">
        <w:trPr>
          <w:trHeight w:val="324"/>
        </w:trPr>
        <w:tc>
          <w:tcPr>
            <w:tcW w:w="2245" w:type="dxa"/>
            <w:shd w:val="clear" w:color="auto" w:fill="auto"/>
            <w:noWrap/>
            <w:vAlign w:val="bottom"/>
            <w:hideMark/>
          </w:tcPr>
          <w:p w:rsidR="00135DFE" w:rsidRPr="00135DFE" w:rsidRDefault="00135DFE" w:rsidP="00135DFE">
            <w:pPr>
              <w:spacing w:after="0" w:line="240" w:lineRule="auto"/>
              <w:rPr>
                <w:rFonts w:ascii="Calibri" w:eastAsia="Times New Roman" w:hAnsi="Calibri" w:cs="Times New Roman"/>
                <w:color w:val="000000"/>
                <w:sz w:val="24"/>
                <w:szCs w:val="24"/>
              </w:rPr>
            </w:pPr>
            <w:r w:rsidRPr="00135DFE">
              <w:rPr>
                <w:rFonts w:ascii="Calibri" w:eastAsia="Times New Roman" w:hAnsi="Calibri" w:cs="Times New Roman"/>
                <w:color w:val="000000"/>
                <w:sz w:val="24"/>
                <w:szCs w:val="24"/>
              </w:rPr>
              <w:t>CA-San Diego</w:t>
            </w:r>
          </w:p>
        </w:tc>
      </w:tr>
      <w:tr w:rsidR="00135DFE" w:rsidRPr="00135DFE" w:rsidTr="00135DFE">
        <w:trPr>
          <w:trHeight w:val="324"/>
        </w:trPr>
        <w:tc>
          <w:tcPr>
            <w:tcW w:w="2245" w:type="dxa"/>
            <w:shd w:val="clear" w:color="auto" w:fill="auto"/>
            <w:noWrap/>
            <w:vAlign w:val="bottom"/>
            <w:hideMark/>
          </w:tcPr>
          <w:p w:rsidR="00135DFE" w:rsidRPr="00135DFE" w:rsidRDefault="00135DFE" w:rsidP="00135DFE">
            <w:pPr>
              <w:spacing w:after="0" w:line="240" w:lineRule="auto"/>
              <w:rPr>
                <w:rFonts w:ascii="Calibri" w:eastAsia="Times New Roman" w:hAnsi="Calibri" w:cs="Times New Roman"/>
                <w:color w:val="000000"/>
                <w:sz w:val="24"/>
                <w:szCs w:val="24"/>
              </w:rPr>
            </w:pPr>
            <w:r w:rsidRPr="00135DFE">
              <w:rPr>
                <w:rFonts w:ascii="Calibri" w:eastAsia="Times New Roman" w:hAnsi="Calibri" w:cs="Times New Roman"/>
                <w:color w:val="000000"/>
                <w:sz w:val="24"/>
                <w:szCs w:val="24"/>
              </w:rPr>
              <w:t>CA-San Francisco</w:t>
            </w:r>
          </w:p>
        </w:tc>
      </w:tr>
      <w:tr w:rsidR="00135DFE" w:rsidRPr="00135DFE" w:rsidTr="00135DFE">
        <w:trPr>
          <w:trHeight w:val="324"/>
        </w:trPr>
        <w:tc>
          <w:tcPr>
            <w:tcW w:w="2245" w:type="dxa"/>
            <w:shd w:val="clear" w:color="auto" w:fill="auto"/>
            <w:noWrap/>
            <w:vAlign w:val="bottom"/>
            <w:hideMark/>
          </w:tcPr>
          <w:p w:rsidR="00135DFE" w:rsidRPr="00135DFE" w:rsidRDefault="00135DFE" w:rsidP="00135DFE">
            <w:pPr>
              <w:spacing w:after="0" w:line="240" w:lineRule="auto"/>
              <w:rPr>
                <w:rFonts w:ascii="Calibri" w:eastAsia="Times New Roman" w:hAnsi="Calibri" w:cs="Times New Roman"/>
                <w:color w:val="000000"/>
                <w:sz w:val="24"/>
                <w:szCs w:val="24"/>
              </w:rPr>
            </w:pPr>
            <w:r w:rsidRPr="00135DFE">
              <w:rPr>
                <w:rFonts w:ascii="Calibri" w:eastAsia="Times New Roman" w:hAnsi="Calibri" w:cs="Times New Roman"/>
                <w:color w:val="000000"/>
                <w:sz w:val="24"/>
                <w:szCs w:val="24"/>
              </w:rPr>
              <w:lastRenderedPageBreak/>
              <w:t>CO-Denver</w:t>
            </w:r>
          </w:p>
        </w:tc>
      </w:tr>
      <w:tr w:rsidR="00135DFE" w:rsidRPr="00135DFE" w:rsidTr="00135DFE">
        <w:trPr>
          <w:trHeight w:val="324"/>
        </w:trPr>
        <w:tc>
          <w:tcPr>
            <w:tcW w:w="2245" w:type="dxa"/>
            <w:shd w:val="clear" w:color="auto" w:fill="auto"/>
            <w:noWrap/>
            <w:vAlign w:val="bottom"/>
            <w:hideMark/>
          </w:tcPr>
          <w:p w:rsidR="00135DFE" w:rsidRPr="00135DFE" w:rsidRDefault="00135DFE" w:rsidP="00135DFE">
            <w:pPr>
              <w:spacing w:after="0" w:line="240" w:lineRule="auto"/>
              <w:rPr>
                <w:rFonts w:ascii="Calibri" w:eastAsia="Times New Roman" w:hAnsi="Calibri" w:cs="Times New Roman"/>
                <w:color w:val="000000"/>
                <w:sz w:val="24"/>
                <w:szCs w:val="24"/>
              </w:rPr>
            </w:pPr>
            <w:r w:rsidRPr="00135DFE">
              <w:rPr>
                <w:rFonts w:ascii="Calibri" w:eastAsia="Times New Roman" w:hAnsi="Calibri" w:cs="Times New Roman"/>
                <w:color w:val="000000"/>
                <w:sz w:val="24"/>
                <w:szCs w:val="24"/>
              </w:rPr>
              <w:t>DC-Washington</w:t>
            </w:r>
          </w:p>
        </w:tc>
      </w:tr>
      <w:tr w:rsidR="00135DFE" w:rsidRPr="00135DFE" w:rsidTr="00135DFE">
        <w:trPr>
          <w:trHeight w:val="324"/>
        </w:trPr>
        <w:tc>
          <w:tcPr>
            <w:tcW w:w="2245" w:type="dxa"/>
            <w:shd w:val="clear" w:color="auto" w:fill="auto"/>
            <w:noWrap/>
            <w:vAlign w:val="bottom"/>
            <w:hideMark/>
          </w:tcPr>
          <w:p w:rsidR="00135DFE" w:rsidRPr="00135DFE" w:rsidRDefault="00135DFE" w:rsidP="00135DFE">
            <w:pPr>
              <w:spacing w:after="0" w:line="240" w:lineRule="auto"/>
              <w:rPr>
                <w:rFonts w:ascii="Calibri" w:eastAsia="Times New Roman" w:hAnsi="Calibri" w:cs="Times New Roman"/>
                <w:color w:val="000000"/>
                <w:sz w:val="24"/>
                <w:szCs w:val="24"/>
              </w:rPr>
            </w:pPr>
            <w:r w:rsidRPr="00135DFE">
              <w:rPr>
                <w:rFonts w:ascii="Calibri" w:eastAsia="Times New Roman" w:hAnsi="Calibri" w:cs="Times New Roman"/>
                <w:color w:val="000000"/>
                <w:sz w:val="24"/>
                <w:szCs w:val="24"/>
              </w:rPr>
              <w:t>FL-Miami</w:t>
            </w:r>
          </w:p>
        </w:tc>
      </w:tr>
      <w:tr w:rsidR="00135DFE" w:rsidRPr="00135DFE" w:rsidTr="00135DFE">
        <w:trPr>
          <w:trHeight w:val="324"/>
        </w:trPr>
        <w:tc>
          <w:tcPr>
            <w:tcW w:w="2245" w:type="dxa"/>
            <w:shd w:val="clear" w:color="auto" w:fill="auto"/>
            <w:noWrap/>
            <w:vAlign w:val="bottom"/>
            <w:hideMark/>
          </w:tcPr>
          <w:p w:rsidR="00135DFE" w:rsidRPr="00135DFE" w:rsidRDefault="00135DFE" w:rsidP="00135DFE">
            <w:pPr>
              <w:spacing w:after="0" w:line="240" w:lineRule="auto"/>
              <w:rPr>
                <w:rFonts w:ascii="Calibri" w:eastAsia="Times New Roman" w:hAnsi="Calibri" w:cs="Times New Roman"/>
                <w:color w:val="000000"/>
                <w:sz w:val="24"/>
                <w:szCs w:val="24"/>
              </w:rPr>
            </w:pPr>
            <w:r w:rsidRPr="00135DFE">
              <w:rPr>
                <w:rFonts w:ascii="Calibri" w:eastAsia="Times New Roman" w:hAnsi="Calibri" w:cs="Times New Roman"/>
                <w:color w:val="000000"/>
                <w:sz w:val="24"/>
                <w:szCs w:val="24"/>
              </w:rPr>
              <w:t>FL-Tampa</w:t>
            </w:r>
          </w:p>
        </w:tc>
      </w:tr>
      <w:tr w:rsidR="00135DFE" w:rsidRPr="00135DFE" w:rsidTr="00135DFE">
        <w:trPr>
          <w:trHeight w:val="324"/>
        </w:trPr>
        <w:tc>
          <w:tcPr>
            <w:tcW w:w="2245" w:type="dxa"/>
            <w:shd w:val="clear" w:color="auto" w:fill="auto"/>
            <w:noWrap/>
            <w:vAlign w:val="bottom"/>
            <w:hideMark/>
          </w:tcPr>
          <w:p w:rsidR="00135DFE" w:rsidRPr="00135DFE" w:rsidRDefault="00135DFE" w:rsidP="00135DFE">
            <w:pPr>
              <w:spacing w:after="0" w:line="240" w:lineRule="auto"/>
              <w:rPr>
                <w:rFonts w:ascii="Calibri" w:eastAsia="Times New Roman" w:hAnsi="Calibri" w:cs="Times New Roman"/>
                <w:color w:val="000000"/>
                <w:sz w:val="24"/>
                <w:szCs w:val="24"/>
              </w:rPr>
            </w:pPr>
            <w:r w:rsidRPr="00135DFE">
              <w:rPr>
                <w:rFonts w:ascii="Calibri" w:eastAsia="Times New Roman" w:hAnsi="Calibri" w:cs="Times New Roman"/>
                <w:color w:val="000000"/>
                <w:sz w:val="24"/>
                <w:szCs w:val="24"/>
              </w:rPr>
              <w:t>GA-Atlanta</w:t>
            </w:r>
          </w:p>
        </w:tc>
      </w:tr>
      <w:tr w:rsidR="00135DFE" w:rsidRPr="00135DFE" w:rsidTr="00135DFE">
        <w:trPr>
          <w:trHeight w:val="324"/>
        </w:trPr>
        <w:tc>
          <w:tcPr>
            <w:tcW w:w="2245" w:type="dxa"/>
            <w:shd w:val="clear" w:color="auto" w:fill="auto"/>
            <w:noWrap/>
            <w:vAlign w:val="bottom"/>
            <w:hideMark/>
          </w:tcPr>
          <w:p w:rsidR="00135DFE" w:rsidRPr="00135DFE" w:rsidRDefault="00135DFE" w:rsidP="00135DFE">
            <w:pPr>
              <w:spacing w:after="0" w:line="240" w:lineRule="auto"/>
              <w:rPr>
                <w:rFonts w:ascii="Calibri" w:eastAsia="Times New Roman" w:hAnsi="Calibri" w:cs="Times New Roman"/>
                <w:color w:val="000000"/>
                <w:sz w:val="24"/>
                <w:szCs w:val="24"/>
              </w:rPr>
            </w:pPr>
            <w:r w:rsidRPr="00135DFE">
              <w:rPr>
                <w:rFonts w:ascii="Calibri" w:eastAsia="Times New Roman" w:hAnsi="Calibri" w:cs="Times New Roman"/>
                <w:color w:val="000000"/>
                <w:sz w:val="24"/>
                <w:szCs w:val="24"/>
              </w:rPr>
              <w:t>IL-Chicago</w:t>
            </w:r>
          </w:p>
        </w:tc>
      </w:tr>
      <w:tr w:rsidR="00135DFE" w:rsidRPr="00135DFE" w:rsidTr="00135DFE">
        <w:trPr>
          <w:trHeight w:val="324"/>
        </w:trPr>
        <w:tc>
          <w:tcPr>
            <w:tcW w:w="2245" w:type="dxa"/>
            <w:shd w:val="clear" w:color="auto" w:fill="auto"/>
            <w:noWrap/>
            <w:vAlign w:val="bottom"/>
            <w:hideMark/>
          </w:tcPr>
          <w:p w:rsidR="00135DFE" w:rsidRPr="00135DFE" w:rsidRDefault="00135DFE" w:rsidP="00135DFE">
            <w:pPr>
              <w:spacing w:after="0" w:line="240" w:lineRule="auto"/>
              <w:rPr>
                <w:rFonts w:ascii="Calibri" w:eastAsia="Times New Roman" w:hAnsi="Calibri" w:cs="Times New Roman"/>
                <w:color w:val="000000"/>
                <w:sz w:val="24"/>
                <w:szCs w:val="24"/>
              </w:rPr>
            </w:pPr>
            <w:r w:rsidRPr="00135DFE">
              <w:rPr>
                <w:rFonts w:ascii="Calibri" w:eastAsia="Times New Roman" w:hAnsi="Calibri" w:cs="Times New Roman"/>
                <w:color w:val="000000"/>
                <w:sz w:val="24"/>
                <w:szCs w:val="24"/>
              </w:rPr>
              <w:t>MA-Boston</w:t>
            </w:r>
          </w:p>
        </w:tc>
      </w:tr>
      <w:tr w:rsidR="00135DFE" w:rsidRPr="00135DFE" w:rsidTr="00135DFE">
        <w:trPr>
          <w:trHeight w:val="324"/>
        </w:trPr>
        <w:tc>
          <w:tcPr>
            <w:tcW w:w="2245" w:type="dxa"/>
            <w:shd w:val="clear" w:color="auto" w:fill="auto"/>
            <w:noWrap/>
            <w:vAlign w:val="bottom"/>
            <w:hideMark/>
          </w:tcPr>
          <w:p w:rsidR="00135DFE" w:rsidRPr="00135DFE" w:rsidRDefault="00135DFE" w:rsidP="00135DFE">
            <w:pPr>
              <w:spacing w:after="0" w:line="240" w:lineRule="auto"/>
              <w:rPr>
                <w:rFonts w:ascii="Calibri" w:eastAsia="Times New Roman" w:hAnsi="Calibri" w:cs="Times New Roman"/>
                <w:color w:val="000000"/>
                <w:sz w:val="24"/>
                <w:szCs w:val="24"/>
              </w:rPr>
            </w:pPr>
            <w:r w:rsidRPr="00135DFE">
              <w:rPr>
                <w:rFonts w:ascii="Calibri" w:eastAsia="Times New Roman" w:hAnsi="Calibri" w:cs="Times New Roman"/>
                <w:color w:val="000000"/>
                <w:sz w:val="24"/>
                <w:szCs w:val="24"/>
              </w:rPr>
              <w:t>MI-Detroit</w:t>
            </w:r>
          </w:p>
        </w:tc>
      </w:tr>
      <w:tr w:rsidR="00135DFE" w:rsidRPr="00135DFE" w:rsidTr="00135DFE">
        <w:trPr>
          <w:trHeight w:val="324"/>
        </w:trPr>
        <w:tc>
          <w:tcPr>
            <w:tcW w:w="2245" w:type="dxa"/>
            <w:shd w:val="clear" w:color="auto" w:fill="auto"/>
            <w:noWrap/>
            <w:vAlign w:val="bottom"/>
            <w:hideMark/>
          </w:tcPr>
          <w:p w:rsidR="00135DFE" w:rsidRPr="00135DFE" w:rsidRDefault="00135DFE" w:rsidP="00135DFE">
            <w:pPr>
              <w:spacing w:after="0" w:line="240" w:lineRule="auto"/>
              <w:rPr>
                <w:rFonts w:ascii="Calibri" w:eastAsia="Times New Roman" w:hAnsi="Calibri" w:cs="Times New Roman"/>
                <w:color w:val="000000"/>
                <w:sz w:val="24"/>
                <w:szCs w:val="24"/>
              </w:rPr>
            </w:pPr>
            <w:r w:rsidRPr="00135DFE">
              <w:rPr>
                <w:rFonts w:ascii="Calibri" w:eastAsia="Times New Roman" w:hAnsi="Calibri" w:cs="Times New Roman"/>
                <w:color w:val="000000"/>
                <w:sz w:val="24"/>
                <w:szCs w:val="24"/>
              </w:rPr>
              <w:t>MN-Minneapolis</w:t>
            </w:r>
          </w:p>
        </w:tc>
      </w:tr>
      <w:tr w:rsidR="00135DFE" w:rsidRPr="00135DFE" w:rsidTr="00135DFE">
        <w:trPr>
          <w:trHeight w:val="324"/>
        </w:trPr>
        <w:tc>
          <w:tcPr>
            <w:tcW w:w="2245" w:type="dxa"/>
            <w:shd w:val="clear" w:color="auto" w:fill="auto"/>
            <w:noWrap/>
            <w:vAlign w:val="bottom"/>
            <w:hideMark/>
          </w:tcPr>
          <w:p w:rsidR="00135DFE" w:rsidRPr="00135DFE" w:rsidRDefault="00135DFE" w:rsidP="00135DFE">
            <w:pPr>
              <w:spacing w:after="0" w:line="240" w:lineRule="auto"/>
              <w:rPr>
                <w:rFonts w:ascii="Calibri" w:eastAsia="Times New Roman" w:hAnsi="Calibri" w:cs="Times New Roman"/>
                <w:color w:val="000000"/>
                <w:sz w:val="24"/>
                <w:szCs w:val="24"/>
              </w:rPr>
            </w:pPr>
            <w:r w:rsidRPr="00135DFE">
              <w:rPr>
                <w:rFonts w:ascii="Calibri" w:eastAsia="Times New Roman" w:hAnsi="Calibri" w:cs="Times New Roman"/>
                <w:color w:val="000000"/>
                <w:sz w:val="24"/>
                <w:szCs w:val="24"/>
              </w:rPr>
              <w:t>NC-Charlotte</w:t>
            </w:r>
          </w:p>
        </w:tc>
      </w:tr>
      <w:tr w:rsidR="00135DFE" w:rsidRPr="00135DFE" w:rsidTr="00135DFE">
        <w:trPr>
          <w:trHeight w:val="324"/>
        </w:trPr>
        <w:tc>
          <w:tcPr>
            <w:tcW w:w="2245" w:type="dxa"/>
            <w:shd w:val="clear" w:color="auto" w:fill="auto"/>
            <w:noWrap/>
            <w:vAlign w:val="bottom"/>
            <w:hideMark/>
          </w:tcPr>
          <w:p w:rsidR="00135DFE" w:rsidRPr="00135DFE" w:rsidRDefault="00135DFE" w:rsidP="00135DFE">
            <w:pPr>
              <w:spacing w:after="0" w:line="240" w:lineRule="auto"/>
              <w:rPr>
                <w:rFonts w:ascii="Calibri" w:eastAsia="Times New Roman" w:hAnsi="Calibri" w:cs="Times New Roman"/>
                <w:color w:val="000000"/>
                <w:sz w:val="24"/>
                <w:szCs w:val="24"/>
              </w:rPr>
            </w:pPr>
            <w:r w:rsidRPr="00135DFE">
              <w:rPr>
                <w:rFonts w:ascii="Calibri" w:eastAsia="Times New Roman" w:hAnsi="Calibri" w:cs="Times New Roman"/>
                <w:color w:val="000000"/>
                <w:sz w:val="24"/>
                <w:szCs w:val="24"/>
              </w:rPr>
              <w:t>NV-Las Vegas</w:t>
            </w:r>
          </w:p>
        </w:tc>
      </w:tr>
      <w:tr w:rsidR="00135DFE" w:rsidRPr="00135DFE" w:rsidTr="00135DFE">
        <w:trPr>
          <w:trHeight w:val="324"/>
        </w:trPr>
        <w:tc>
          <w:tcPr>
            <w:tcW w:w="2245" w:type="dxa"/>
            <w:shd w:val="clear" w:color="auto" w:fill="auto"/>
            <w:noWrap/>
            <w:vAlign w:val="bottom"/>
            <w:hideMark/>
          </w:tcPr>
          <w:p w:rsidR="00135DFE" w:rsidRPr="00135DFE" w:rsidRDefault="00135DFE" w:rsidP="00135DFE">
            <w:pPr>
              <w:spacing w:after="0" w:line="240" w:lineRule="auto"/>
              <w:rPr>
                <w:rFonts w:ascii="Calibri" w:eastAsia="Times New Roman" w:hAnsi="Calibri" w:cs="Times New Roman"/>
                <w:color w:val="000000"/>
                <w:sz w:val="24"/>
                <w:szCs w:val="24"/>
              </w:rPr>
            </w:pPr>
            <w:r w:rsidRPr="00135DFE">
              <w:rPr>
                <w:rFonts w:ascii="Calibri" w:eastAsia="Times New Roman" w:hAnsi="Calibri" w:cs="Times New Roman"/>
                <w:color w:val="000000"/>
                <w:sz w:val="24"/>
                <w:szCs w:val="24"/>
              </w:rPr>
              <w:t>NY-New York</w:t>
            </w:r>
          </w:p>
        </w:tc>
      </w:tr>
      <w:tr w:rsidR="00135DFE" w:rsidRPr="00135DFE" w:rsidTr="00135DFE">
        <w:trPr>
          <w:trHeight w:val="324"/>
        </w:trPr>
        <w:tc>
          <w:tcPr>
            <w:tcW w:w="2245" w:type="dxa"/>
            <w:shd w:val="clear" w:color="auto" w:fill="auto"/>
            <w:noWrap/>
            <w:vAlign w:val="bottom"/>
            <w:hideMark/>
          </w:tcPr>
          <w:p w:rsidR="00135DFE" w:rsidRPr="00135DFE" w:rsidRDefault="00135DFE" w:rsidP="00135DFE">
            <w:pPr>
              <w:spacing w:after="0" w:line="240" w:lineRule="auto"/>
              <w:rPr>
                <w:rFonts w:ascii="Calibri" w:eastAsia="Times New Roman" w:hAnsi="Calibri" w:cs="Times New Roman"/>
                <w:color w:val="000000"/>
                <w:sz w:val="24"/>
                <w:szCs w:val="24"/>
              </w:rPr>
            </w:pPr>
            <w:r w:rsidRPr="00135DFE">
              <w:rPr>
                <w:rFonts w:ascii="Calibri" w:eastAsia="Times New Roman" w:hAnsi="Calibri" w:cs="Times New Roman"/>
                <w:color w:val="000000"/>
                <w:sz w:val="24"/>
                <w:szCs w:val="24"/>
              </w:rPr>
              <w:t>OH-Cleveland</w:t>
            </w:r>
          </w:p>
        </w:tc>
      </w:tr>
      <w:tr w:rsidR="00135DFE" w:rsidRPr="00135DFE" w:rsidTr="00135DFE">
        <w:trPr>
          <w:trHeight w:val="324"/>
        </w:trPr>
        <w:tc>
          <w:tcPr>
            <w:tcW w:w="2245" w:type="dxa"/>
            <w:shd w:val="clear" w:color="auto" w:fill="auto"/>
            <w:noWrap/>
            <w:vAlign w:val="bottom"/>
            <w:hideMark/>
          </w:tcPr>
          <w:p w:rsidR="00135DFE" w:rsidRPr="00135DFE" w:rsidRDefault="00135DFE" w:rsidP="00135DFE">
            <w:pPr>
              <w:spacing w:after="0" w:line="240" w:lineRule="auto"/>
              <w:rPr>
                <w:rFonts w:ascii="Calibri" w:eastAsia="Times New Roman" w:hAnsi="Calibri" w:cs="Times New Roman"/>
                <w:color w:val="000000"/>
                <w:sz w:val="24"/>
                <w:szCs w:val="24"/>
              </w:rPr>
            </w:pPr>
            <w:r w:rsidRPr="00135DFE">
              <w:rPr>
                <w:rFonts w:ascii="Calibri" w:eastAsia="Times New Roman" w:hAnsi="Calibri" w:cs="Times New Roman"/>
                <w:color w:val="000000"/>
                <w:sz w:val="24"/>
                <w:szCs w:val="24"/>
              </w:rPr>
              <w:t>OR-Portland</w:t>
            </w:r>
          </w:p>
        </w:tc>
      </w:tr>
      <w:tr w:rsidR="00135DFE" w:rsidRPr="00135DFE" w:rsidTr="00135DFE">
        <w:trPr>
          <w:trHeight w:val="324"/>
        </w:trPr>
        <w:tc>
          <w:tcPr>
            <w:tcW w:w="2245" w:type="dxa"/>
            <w:shd w:val="clear" w:color="auto" w:fill="auto"/>
            <w:noWrap/>
            <w:vAlign w:val="bottom"/>
            <w:hideMark/>
          </w:tcPr>
          <w:p w:rsidR="00135DFE" w:rsidRPr="00135DFE" w:rsidRDefault="00135DFE" w:rsidP="00135DFE">
            <w:pPr>
              <w:spacing w:after="0" w:line="240" w:lineRule="auto"/>
              <w:rPr>
                <w:rFonts w:ascii="Calibri" w:eastAsia="Times New Roman" w:hAnsi="Calibri" w:cs="Times New Roman"/>
                <w:color w:val="000000"/>
                <w:sz w:val="24"/>
                <w:szCs w:val="24"/>
              </w:rPr>
            </w:pPr>
            <w:r w:rsidRPr="00135DFE">
              <w:rPr>
                <w:rFonts w:ascii="Calibri" w:eastAsia="Times New Roman" w:hAnsi="Calibri" w:cs="Times New Roman"/>
                <w:color w:val="000000"/>
                <w:sz w:val="24"/>
                <w:szCs w:val="24"/>
              </w:rPr>
              <w:t>TX-Dallas</w:t>
            </w:r>
          </w:p>
        </w:tc>
      </w:tr>
      <w:tr w:rsidR="00135DFE" w:rsidRPr="00135DFE" w:rsidTr="00135DFE">
        <w:trPr>
          <w:trHeight w:val="324"/>
        </w:trPr>
        <w:tc>
          <w:tcPr>
            <w:tcW w:w="2245" w:type="dxa"/>
            <w:shd w:val="clear" w:color="auto" w:fill="auto"/>
            <w:noWrap/>
            <w:vAlign w:val="bottom"/>
            <w:hideMark/>
          </w:tcPr>
          <w:p w:rsidR="00135DFE" w:rsidRPr="00135DFE" w:rsidRDefault="00135DFE" w:rsidP="00135DFE">
            <w:pPr>
              <w:spacing w:after="0" w:line="240" w:lineRule="auto"/>
              <w:rPr>
                <w:rFonts w:ascii="Calibri" w:eastAsia="Times New Roman" w:hAnsi="Calibri" w:cs="Times New Roman"/>
                <w:color w:val="000000"/>
                <w:sz w:val="24"/>
                <w:szCs w:val="24"/>
              </w:rPr>
            </w:pPr>
            <w:r w:rsidRPr="00135DFE">
              <w:rPr>
                <w:rFonts w:ascii="Calibri" w:eastAsia="Times New Roman" w:hAnsi="Calibri" w:cs="Times New Roman"/>
                <w:color w:val="000000"/>
                <w:sz w:val="24"/>
                <w:szCs w:val="24"/>
              </w:rPr>
              <w:t>WA-Seattle</w:t>
            </w:r>
          </w:p>
        </w:tc>
      </w:tr>
      <w:tr w:rsidR="00135DFE" w:rsidRPr="00135DFE" w:rsidTr="00135DFE">
        <w:trPr>
          <w:trHeight w:val="324"/>
        </w:trPr>
        <w:tc>
          <w:tcPr>
            <w:tcW w:w="2245" w:type="dxa"/>
            <w:shd w:val="clear" w:color="auto" w:fill="auto"/>
            <w:noWrap/>
            <w:vAlign w:val="bottom"/>
            <w:hideMark/>
          </w:tcPr>
          <w:p w:rsidR="00135DFE" w:rsidRPr="00135DFE" w:rsidRDefault="00135DFE" w:rsidP="00135DFE">
            <w:pPr>
              <w:spacing w:after="0" w:line="240" w:lineRule="auto"/>
              <w:rPr>
                <w:rFonts w:ascii="Calibri" w:eastAsia="Times New Roman" w:hAnsi="Calibri" w:cs="Times New Roman"/>
                <w:strike/>
                <w:color w:val="000000"/>
                <w:sz w:val="24"/>
                <w:szCs w:val="24"/>
              </w:rPr>
            </w:pPr>
            <w:r w:rsidRPr="00135DFE">
              <w:rPr>
                <w:rFonts w:ascii="Calibri" w:eastAsia="Times New Roman" w:hAnsi="Calibri" w:cs="Times New Roman"/>
                <w:strike/>
                <w:color w:val="000000"/>
                <w:sz w:val="24"/>
                <w:szCs w:val="24"/>
              </w:rPr>
              <w:t>Composite-10</w:t>
            </w:r>
          </w:p>
        </w:tc>
      </w:tr>
      <w:tr w:rsidR="00135DFE" w:rsidRPr="00135DFE" w:rsidTr="00135DFE">
        <w:trPr>
          <w:trHeight w:val="324"/>
        </w:trPr>
        <w:tc>
          <w:tcPr>
            <w:tcW w:w="2245" w:type="dxa"/>
            <w:shd w:val="clear" w:color="auto" w:fill="auto"/>
            <w:noWrap/>
            <w:vAlign w:val="bottom"/>
            <w:hideMark/>
          </w:tcPr>
          <w:p w:rsidR="00135DFE" w:rsidRPr="00135DFE" w:rsidRDefault="00135DFE" w:rsidP="00135DFE">
            <w:pPr>
              <w:spacing w:after="0" w:line="240" w:lineRule="auto"/>
              <w:rPr>
                <w:rFonts w:ascii="Calibri" w:eastAsia="Times New Roman" w:hAnsi="Calibri" w:cs="Times New Roman"/>
                <w:strike/>
                <w:color w:val="000000"/>
                <w:sz w:val="24"/>
                <w:szCs w:val="24"/>
              </w:rPr>
            </w:pPr>
            <w:r w:rsidRPr="00135DFE">
              <w:rPr>
                <w:rFonts w:ascii="Calibri" w:eastAsia="Times New Roman" w:hAnsi="Calibri" w:cs="Times New Roman"/>
                <w:strike/>
                <w:color w:val="000000"/>
                <w:sz w:val="24"/>
                <w:szCs w:val="24"/>
              </w:rPr>
              <w:t>Composite-20</w:t>
            </w:r>
          </w:p>
        </w:tc>
      </w:tr>
      <w:tr w:rsidR="00135DFE" w:rsidRPr="00135DFE" w:rsidTr="00135DFE">
        <w:trPr>
          <w:trHeight w:val="324"/>
        </w:trPr>
        <w:tc>
          <w:tcPr>
            <w:tcW w:w="2245" w:type="dxa"/>
            <w:shd w:val="clear" w:color="auto" w:fill="auto"/>
            <w:noWrap/>
            <w:vAlign w:val="bottom"/>
            <w:hideMark/>
          </w:tcPr>
          <w:p w:rsidR="00135DFE" w:rsidRPr="00135DFE" w:rsidRDefault="00135DFE" w:rsidP="00135DFE">
            <w:pPr>
              <w:spacing w:after="0" w:line="240" w:lineRule="auto"/>
              <w:rPr>
                <w:rFonts w:ascii="Calibri" w:eastAsia="Times New Roman" w:hAnsi="Calibri" w:cs="Times New Roman"/>
                <w:strike/>
                <w:color w:val="000000"/>
                <w:sz w:val="24"/>
                <w:szCs w:val="24"/>
              </w:rPr>
            </w:pPr>
            <w:r w:rsidRPr="00135DFE">
              <w:rPr>
                <w:rFonts w:ascii="Calibri" w:eastAsia="Times New Roman" w:hAnsi="Calibri" w:cs="Times New Roman"/>
                <w:strike/>
                <w:color w:val="000000"/>
                <w:sz w:val="24"/>
                <w:szCs w:val="24"/>
              </w:rPr>
              <w:t>National-US</w:t>
            </w:r>
          </w:p>
        </w:tc>
      </w:tr>
    </w:tbl>
    <w:p w:rsidR="00135DFE" w:rsidRDefault="00135DFE" w:rsidP="002F0677">
      <w:pPr>
        <w:rPr>
          <w:sz w:val="24"/>
        </w:rPr>
      </w:pPr>
    </w:p>
    <w:p w:rsidR="00E5170B" w:rsidRDefault="008C34EF" w:rsidP="00E5170B">
      <w:pPr>
        <w:rPr>
          <w:sz w:val="24"/>
        </w:rPr>
      </w:pPr>
      <w:r>
        <w:rPr>
          <w:sz w:val="24"/>
        </w:rPr>
        <w:t xml:space="preserve">We also made use of the </w:t>
      </w:r>
      <w:r w:rsidR="00E5170B">
        <w:rPr>
          <w:sz w:val="24"/>
        </w:rPr>
        <w:t xml:space="preserve">US Statewise </w:t>
      </w:r>
      <w:r>
        <w:rPr>
          <w:sz w:val="24"/>
        </w:rPr>
        <w:t xml:space="preserve">Population data that we gathered from </w:t>
      </w:r>
      <w:hyperlink r:id="rId7" w:history="1">
        <w:r w:rsidRPr="00214768">
          <w:rPr>
            <w:rStyle w:val="Hyperlink"/>
            <w:sz w:val="24"/>
          </w:rPr>
          <w:t>http://www.census.gov/</w:t>
        </w:r>
      </w:hyperlink>
      <w:r w:rsidR="00E5170B">
        <w:rPr>
          <w:sz w:val="24"/>
        </w:rPr>
        <w:t xml:space="preserve">. For some back dated data, we picked records from </w:t>
      </w:r>
      <w:hyperlink r:id="rId8" w:history="1">
        <w:r w:rsidR="00E5170B" w:rsidRPr="00214768">
          <w:rPr>
            <w:rStyle w:val="Hyperlink"/>
            <w:sz w:val="24"/>
          </w:rPr>
          <w:t>www.google.com</w:t>
        </w:r>
      </w:hyperlink>
      <w:r w:rsidR="00E5170B">
        <w:rPr>
          <w:sz w:val="24"/>
        </w:rPr>
        <w:t xml:space="preserve">/ that </w:t>
      </w:r>
      <w:r w:rsidR="00F121A9">
        <w:rPr>
          <w:sz w:val="24"/>
        </w:rPr>
        <w:t>were</w:t>
      </w:r>
      <w:r w:rsidR="00E5170B">
        <w:rPr>
          <w:sz w:val="24"/>
        </w:rPr>
        <w:t xml:space="preserve"> not available on the former URL</w:t>
      </w:r>
      <w:r w:rsidR="00B41344">
        <w:rPr>
          <w:sz w:val="24"/>
        </w:rPr>
        <w:t xml:space="preserve">. </w:t>
      </w:r>
    </w:p>
    <w:p w:rsidR="00ED689C" w:rsidRDefault="00E5170B" w:rsidP="00E5170B">
      <w:pPr>
        <w:rPr>
          <w:sz w:val="24"/>
        </w:rPr>
      </w:pPr>
      <w:r>
        <w:rPr>
          <w:noProof/>
        </w:rPr>
        <w:drawing>
          <wp:inline distT="0" distB="0" distL="0" distR="0" wp14:anchorId="1FC9347E" wp14:editId="37381C10">
            <wp:extent cx="2443397" cy="1890938"/>
            <wp:effectExtent l="19050" t="19050" r="1460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0092" cy="1896119"/>
                    </a:xfrm>
                    <a:prstGeom prst="rect">
                      <a:avLst/>
                    </a:prstGeom>
                    <a:ln>
                      <a:solidFill>
                        <a:schemeClr val="accent1"/>
                      </a:solidFill>
                    </a:ln>
                  </pic:spPr>
                </pic:pic>
              </a:graphicData>
            </a:graphic>
          </wp:inline>
        </w:drawing>
      </w:r>
      <w:r>
        <w:rPr>
          <w:sz w:val="24"/>
        </w:rPr>
        <w:t xml:space="preserve"> </w:t>
      </w:r>
    </w:p>
    <w:p w:rsidR="00F85D4C" w:rsidRDefault="00F85D4C" w:rsidP="00E5170B">
      <w:pPr>
        <w:rPr>
          <w:sz w:val="24"/>
        </w:rPr>
      </w:pPr>
    </w:p>
    <w:p w:rsidR="00F85D4C" w:rsidRDefault="00F85D4C">
      <w:pPr>
        <w:rPr>
          <w:sz w:val="24"/>
          <w:u w:val="single"/>
        </w:rPr>
      </w:pPr>
      <w:r>
        <w:rPr>
          <w:sz w:val="24"/>
          <w:u w:val="single"/>
        </w:rPr>
        <w:br w:type="page"/>
      </w:r>
    </w:p>
    <w:p w:rsidR="00F85D4C" w:rsidRDefault="006C5CC3" w:rsidP="00F85D4C">
      <w:pPr>
        <w:rPr>
          <w:sz w:val="24"/>
          <w:u w:val="single"/>
        </w:rPr>
      </w:pPr>
      <w:r>
        <w:rPr>
          <w:sz w:val="24"/>
          <w:u w:val="single"/>
        </w:rPr>
        <w:lastRenderedPageBreak/>
        <w:t>R Analysis</w:t>
      </w:r>
    </w:p>
    <w:p w:rsidR="00105F24" w:rsidRDefault="00105F24" w:rsidP="00F85D4C">
      <w:pPr>
        <w:rPr>
          <w:sz w:val="24"/>
        </w:rPr>
      </w:pPr>
      <w:r w:rsidRPr="00105F24">
        <w:rPr>
          <w:sz w:val="24"/>
        </w:rPr>
        <w:t>In our project,</w:t>
      </w:r>
      <w:r>
        <w:rPr>
          <w:sz w:val="24"/>
        </w:rPr>
        <w:t xml:space="preserve"> we have used </w:t>
      </w:r>
      <w:r w:rsidR="00144EE0">
        <w:rPr>
          <w:sz w:val="24"/>
        </w:rPr>
        <w:t>K-Means Cluster</w:t>
      </w:r>
      <w:r>
        <w:rPr>
          <w:sz w:val="24"/>
        </w:rPr>
        <w:t xml:space="preserve"> Analysis using R to group records, i.e. the Market Segments, based on the Amount Raised by Venture Investments (top 100).</w:t>
      </w:r>
    </w:p>
    <w:p w:rsidR="009B3B85" w:rsidRPr="00105F24" w:rsidRDefault="009B3B85" w:rsidP="00F85D4C">
      <w:pPr>
        <w:rPr>
          <w:sz w:val="24"/>
        </w:rPr>
      </w:pPr>
      <w:r>
        <w:rPr>
          <w:sz w:val="24"/>
        </w:rPr>
        <w:t>R Script:</w:t>
      </w:r>
    </w:p>
    <w:p w:rsidR="006C5CC3" w:rsidRDefault="00C91B0A" w:rsidP="00F85D4C">
      <w:pPr>
        <w:rPr>
          <w:sz w:val="24"/>
        </w:rPr>
      </w:pPr>
      <w:r>
        <w:rPr>
          <w:noProof/>
        </w:rPr>
        <w:drawing>
          <wp:inline distT="0" distB="0" distL="0" distR="0" wp14:anchorId="77E75097" wp14:editId="4B3FED53">
            <wp:extent cx="5943600" cy="4057015"/>
            <wp:effectExtent l="19050" t="19050" r="1905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57015"/>
                    </a:xfrm>
                    <a:prstGeom prst="rect">
                      <a:avLst/>
                    </a:prstGeom>
                    <a:ln>
                      <a:solidFill>
                        <a:schemeClr val="accent1"/>
                      </a:solidFill>
                    </a:ln>
                  </pic:spPr>
                </pic:pic>
              </a:graphicData>
            </a:graphic>
          </wp:inline>
        </w:drawing>
      </w:r>
    </w:p>
    <w:p w:rsidR="009B3B85" w:rsidRDefault="009B3B85" w:rsidP="00F85D4C">
      <w:pPr>
        <w:rPr>
          <w:i/>
          <w:sz w:val="24"/>
        </w:rPr>
      </w:pPr>
    </w:p>
    <w:p w:rsidR="00105F24" w:rsidRPr="00CB6C55" w:rsidRDefault="00CB6C55" w:rsidP="00F85D4C">
      <w:pPr>
        <w:rPr>
          <w:sz w:val="24"/>
        </w:rPr>
      </w:pPr>
      <w:r w:rsidRPr="00CB6C55">
        <w:rPr>
          <w:i/>
          <w:sz w:val="24"/>
        </w:rPr>
        <w:t>Note:</w:t>
      </w:r>
      <w:r>
        <w:rPr>
          <w:i/>
          <w:sz w:val="24"/>
        </w:rPr>
        <w:t xml:space="preserve"> </w:t>
      </w:r>
      <w:r>
        <w:rPr>
          <w:sz w:val="24"/>
        </w:rPr>
        <w:t xml:space="preserve">The below 2 screenshots have been captured using data for the Top 20 investors (with changes in R script) and </w:t>
      </w:r>
      <w:r w:rsidR="00DD36D1">
        <w:rPr>
          <w:sz w:val="24"/>
        </w:rPr>
        <w:t xml:space="preserve">data </w:t>
      </w:r>
      <w:r>
        <w:rPr>
          <w:sz w:val="24"/>
        </w:rPr>
        <w:t xml:space="preserve">for Quarter 4 of the year 2014. This has been done in order to provide a cleaner </w:t>
      </w:r>
      <w:r w:rsidR="00DD36D1">
        <w:rPr>
          <w:sz w:val="24"/>
        </w:rPr>
        <w:t>visual of the graphs.</w:t>
      </w:r>
    </w:p>
    <w:p w:rsidR="009B3B85" w:rsidRDefault="009B3B85">
      <w:pPr>
        <w:rPr>
          <w:sz w:val="24"/>
        </w:rPr>
      </w:pPr>
      <w:r>
        <w:rPr>
          <w:sz w:val="24"/>
        </w:rPr>
        <w:br w:type="page"/>
      </w:r>
    </w:p>
    <w:p w:rsidR="00105F24" w:rsidRDefault="009B3B85" w:rsidP="00F85D4C">
      <w:pPr>
        <w:rPr>
          <w:sz w:val="24"/>
        </w:rPr>
      </w:pPr>
      <w:r>
        <w:rPr>
          <w:sz w:val="24"/>
        </w:rPr>
        <w:lastRenderedPageBreak/>
        <w:t xml:space="preserve">This </w:t>
      </w:r>
      <w:r w:rsidR="00105F24">
        <w:rPr>
          <w:sz w:val="24"/>
        </w:rPr>
        <w:t>GGPLOT provides us the leading market segments</w:t>
      </w:r>
      <w:r>
        <w:rPr>
          <w:sz w:val="24"/>
        </w:rPr>
        <w:t xml:space="preserve"> (also the most important)</w:t>
      </w:r>
      <w:r w:rsidR="00105F24">
        <w:rPr>
          <w:sz w:val="24"/>
        </w:rPr>
        <w:t xml:space="preserve"> based on the amount of venture funding raised by the top 20 investors</w:t>
      </w:r>
      <w:r w:rsidR="008F3F9C">
        <w:rPr>
          <w:sz w:val="24"/>
        </w:rPr>
        <w:t>.</w:t>
      </w:r>
    </w:p>
    <w:p w:rsidR="00C91B0A" w:rsidRDefault="00C91B0A" w:rsidP="00F85D4C">
      <w:pPr>
        <w:rPr>
          <w:sz w:val="24"/>
        </w:rPr>
      </w:pPr>
      <w:r>
        <w:rPr>
          <w:noProof/>
        </w:rPr>
        <w:drawing>
          <wp:inline distT="0" distB="0" distL="0" distR="0" wp14:anchorId="330BD933" wp14:editId="457E1D4A">
            <wp:extent cx="5943600" cy="4305935"/>
            <wp:effectExtent l="19050" t="19050" r="1905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05935"/>
                    </a:xfrm>
                    <a:prstGeom prst="rect">
                      <a:avLst/>
                    </a:prstGeom>
                    <a:ln>
                      <a:solidFill>
                        <a:schemeClr val="accent1"/>
                      </a:solidFill>
                    </a:ln>
                  </pic:spPr>
                </pic:pic>
              </a:graphicData>
            </a:graphic>
          </wp:inline>
        </w:drawing>
      </w:r>
    </w:p>
    <w:p w:rsidR="009B3B85" w:rsidRDefault="009B3B85">
      <w:pPr>
        <w:rPr>
          <w:sz w:val="24"/>
        </w:rPr>
      </w:pPr>
      <w:r>
        <w:rPr>
          <w:sz w:val="24"/>
        </w:rPr>
        <w:br w:type="page"/>
      </w:r>
    </w:p>
    <w:p w:rsidR="00105F24" w:rsidRDefault="009B3B85" w:rsidP="00F85D4C">
      <w:pPr>
        <w:rPr>
          <w:sz w:val="24"/>
        </w:rPr>
      </w:pPr>
      <w:r>
        <w:rPr>
          <w:sz w:val="24"/>
        </w:rPr>
        <w:lastRenderedPageBreak/>
        <w:t>This</w:t>
      </w:r>
      <w:r w:rsidR="00654751">
        <w:rPr>
          <w:sz w:val="24"/>
        </w:rPr>
        <w:t xml:space="preserve"> </w:t>
      </w:r>
      <w:r w:rsidR="00656282">
        <w:rPr>
          <w:sz w:val="24"/>
        </w:rPr>
        <w:t xml:space="preserve">plot provides us a visual of the </w:t>
      </w:r>
      <w:r>
        <w:rPr>
          <w:sz w:val="24"/>
        </w:rPr>
        <w:t xml:space="preserve">similar Market Segment clusters </w:t>
      </w:r>
      <w:r w:rsidR="00656282">
        <w:rPr>
          <w:sz w:val="24"/>
        </w:rPr>
        <w:t>along the first 2 Principal Components</w:t>
      </w:r>
      <w:r w:rsidR="007F3D96">
        <w:rPr>
          <w:sz w:val="24"/>
        </w:rPr>
        <w:t xml:space="preserve"> which account for maximum variance in </w:t>
      </w:r>
      <w:r>
        <w:rPr>
          <w:sz w:val="24"/>
        </w:rPr>
        <w:t>the</w:t>
      </w:r>
      <w:r w:rsidR="007F3D96">
        <w:rPr>
          <w:sz w:val="24"/>
        </w:rPr>
        <w:t xml:space="preserve"> data.</w:t>
      </w:r>
      <w:r>
        <w:rPr>
          <w:sz w:val="24"/>
        </w:rPr>
        <w:t xml:space="preserve"> This helps us in analyzing which market areas are related to one another in terms of Venture Funding raised.  </w:t>
      </w:r>
    </w:p>
    <w:p w:rsidR="003650D9" w:rsidRPr="006C5CC3" w:rsidRDefault="003650D9" w:rsidP="00F85D4C">
      <w:pPr>
        <w:rPr>
          <w:sz w:val="24"/>
        </w:rPr>
      </w:pPr>
      <w:r>
        <w:rPr>
          <w:noProof/>
        </w:rPr>
        <w:drawing>
          <wp:inline distT="0" distB="0" distL="0" distR="0" wp14:anchorId="5D07B816" wp14:editId="5D39CA41">
            <wp:extent cx="5943600" cy="31718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1825"/>
                    </a:xfrm>
                    <a:prstGeom prst="rect">
                      <a:avLst/>
                    </a:prstGeom>
                    <a:ln>
                      <a:solidFill>
                        <a:schemeClr val="accent1"/>
                      </a:solidFill>
                    </a:ln>
                  </pic:spPr>
                </pic:pic>
              </a:graphicData>
            </a:graphic>
          </wp:inline>
        </w:drawing>
      </w:r>
    </w:p>
    <w:p w:rsidR="00FB0226" w:rsidRDefault="00FB0226">
      <w:pPr>
        <w:rPr>
          <w:sz w:val="24"/>
          <w:u w:val="single"/>
        </w:rPr>
      </w:pPr>
      <w:r>
        <w:rPr>
          <w:sz w:val="24"/>
          <w:u w:val="single"/>
        </w:rPr>
        <w:br w:type="page"/>
      </w:r>
    </w:p>
    <w:p w:rsidR="008C34EF" w:rsidRDefault="00C97239" w:rsidP="002F0677">
      <w:pPr>
        <w:rPr>
          <w:sz w:val="24"/>
          <w:u w:val="single"/>
        </w:rPr>
      </w:pPr>
      <w:r w:rsidRPr="00C97239">
        <w:rPr>
          <w:sz w:val="24"/>
          <w:u w:val="single"/>
        </w:rPr>
        <w:lastRenderedPageBreak/>
        <w:t>Tableau Visualization</w:t>
      </w:r>
    </w:p>
    <w:p w:rsidR="00973943" w:rsidRPr="00973943" w:rsidRDefault="00973943" w:rsidP="002F0677">
      <w:pPr>
        <w:rPr>
          <w:sz w:val="24"/>
        </w:rPr>
      </w:pPr>
      <w:r w:rsidRPr="00973943">
        <w:rPr>
          <w:sz w:val="24"/>
        </w:rPr>
        <w:t>1.</w:t>
      </w:r>
    </w:p>
    <w:p w:rsidR="00FB0226" w:rsidRDefault="00FB0226" w:rsidP="002F0677">
      <w:pPr>
        <w:rPr>
          <w:b/>
          <w:sz w:val="24"/>
        </w:rPr>
      </w:pPr>
      <w:r>
        <w:rPr>
          <w:noProof/>
        </w:rPr>
        <w:drawing>
          <wp:inline distT="0" distB="0" distL="0" distR="0" wp14:anchorId="47254ED8" wp14:editId="0B3850C9">
            <wp:extent cx="5943600" cy="33432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a:ln>
                      <a:solidFill>
                        <a:schemeClr val="accent1"/>
                      </a:solidFill>
                    </a:ln>
                  </pic:spPr>
                </pic:pic>
              </a:graphicData>
            </a:graphic>
          </wp:inline>
        </w:drawing>
      </w:r>
    </w:p>
    <w:p w:rsidR="00C97239" w:rsidRDefault="00FB0226" w:rsidP="002F0677">
      <w:pPr>
        <w:rPr>
          <w:sz w:val="24"/>
        </w:rPr>
      </w:pPr>
      <w:r>
        <w:rPr>
          <w:sz w:val="24"/>
        </w:rPr>
        <w:t>This visualization</w:t>
      </w:r>
      <w:r w:rsidR="0052392F">
        <w:rPr>
          <w:sz w:val="24"/>
        </w:rPr>
        <w:t xml:space="preserve"> </w:t>
      </w:r>
      <w:r w:rsidR="00C97239">
        <w:rPr>
          <w:sz w:val="24"/>
        </w:rPr>
        <w:t xml:space="preserve">provides us an overview of the total amount raised (USD) through various funding </w:t>
      </w:r>
      <w:r w:rsidR="0008446C">
        <w:rPr>
          <w:sz w:val="24"/>
        </w:rPr>
        <w:t>types</w:t>
      </w:r>
      <w:r w:rsidR="00C97239">
        <w:rPr>
          <w:sz w:val="24"/>
        </w:rPr>
        <w:t xml:space="preserve"> across the different states in the United States. </w:t>
      </w:r>
      <w:r w:rsidR="0052392F">
        <w:rPr>
          <w:sz w:val="24"/>
        </w:rPr>
        <w:t>The data being acco</w:t>
      </w:r>
      <w:r w:rsidR="008604B9">
        <w:rPr>
          <w:sz w:val="24"/>
        </w:rPr>
        <w:t xml:space="preserve">unted is for years 2010 to 2015 with the highest raised amount being observed in states of California, New York, Massachusetts etc. </w:t>
      </w:r>
      <w:r w:rsidR="00C97239">
        <w:rPr>
          <w:sz w:val="24"/>
        </w:rPr>
        <w:t xml:space="preserve">Visualization </w:t>
      </w:r>
      <w:r>
        <w:rPr>
          <w:sz w:val="24"/>
        </w:rPr>
        <w:t xml:space="preserve">on the Top Markets in the US </w:t>
      </w:r>
      <w:r w:rsidR="00C97239">
        <w:rPr>
          <w:sz w:val="24"/>
        </w:rPr>
        <w:t>provides us the percentage share of the top Market Segments based on the amount raised (USD) through various funding types.</w:t>
      </w:r>
      <w:r w:rsidR="008604B9">
        <w:rPr>
          <w:sz w:val="24"/>
        </w:rPr>
        <w:t xml:space="preserve"> As observed, Biotechnology is leading the way in receiving investments by Mobile and Healthcare.</w:t>
      </w:r>
      <w:r w:rsidR="007F6A0B">
        <w:rPr>
          <w:sz w:val="24"/>
        </w:rPr>
        <w:t xml:space="preserve"> The last v</w:t>
      </w:r>
      <w:r w:rsidR="00C97239">
        <w:rPr>
          <w:sz w:val="24"/>
        </w:rPr>
        <w:t>isualization gives</w:t>
      </w:r>
      <w:r w:rsidR="0008446C">
        <w:rPr>
          <w:sz w:val="24"/>
        </w:rPr>
        <w:t xml:space="preserve"> us the percentage share of </w:t>
      </w:r>
      <w:r w:rsidR="00C97239">
        <w:rPr>
          <w:sz w:val="24"/>
        </w:rPr>
        <w:t xml:space="preserve">different funding types across the United States. As observed, </w:t>
      </w:r>
      <w:r w:rsidR="00B92F85">
        <w:rPr>
          <w:sz w:val="24"/>
        </w:rPr>
        <w:t xml:space="preserve">amount raised by the </w:t>
      </w:r>
      <w:r w:rsidR="00C97239">
        <w:rPr>
          <w:sz w:val="24"/>
        </w:rPr>
        <w:t xml:space="preserve">Venture </w:t>
      </w:r>
      <w:r w:rsidR="00B92F85">
        <w:rPr>
          <w:sz w:val="24"/>
        </w:rPr>
        <w:t xml:space="preserve">Investments </w:t>
      </w:r>
      <w:r w:rsidR="0052392F">
        <w:rPr>
          <w:sz w:val="24"/>
        </w:rPr>
        <w:t xml:space="preserve">(&gt;50%) </w:t>
      </w:r>
      <w:r w:rsidR="00B92F85">
        <w:rPr>
          <w:sz w:val="24"/>
        </w:rPr>
        <w:t>is the greatest followed by Debt Financing</w:t>
      </w:r>
      <w:r w:rsidR="0008446C">
        <w:rPr>
          <w:sz w:val="24"/>
        </w:rPr>
        <w:t xml:space="preserve"> and Private Equity.</w:t>
      </w:r>
      <w:r w:rsidR="00B92F85">
        <w:rPr>
          <w:sz w:val="24"/>
        </w:rPr>
        <w:tab/>
      </w:r>
    </w:p>
    <w:p w:rsidR="00973943" w:rsidRDefault="00973943" w:rsidP="002F0677">
      <w:pPr>
        <w:rPr>
          <w:sz w:val="24"/>
        </w:rPr>
      </w:pPr>
    </w:p>
    <w:p w:rsidR="00973943" w:rsidRDefault="00973943" w:rsidP="002F0677">
      <w:pPr>
        <w:rPr>
          <w:sz w:val="24"/>
        </w:rPr>
      </w:pPr>
    </w:p>
    <w:p w:rsidR="00973943" w:rsidRDefault="00973943" w:rsidP="002F0677">
      <w:pPr>
        <w:rPr>
          <w:sz w:val="24"/>
        </w:rPr>
      </w:pPr>
    </w:p>
    <w:p w:rsidR="00973943" w:rsidRDefault="00973943">
      <w:pPr>
        <w:rPr>
          <w:sz w:val="24"/>
        </w:rPr>
      </w:pPr>
      <w:r>
        <w:rPr>
          <w:sz w:val="24"/>
        </w:rPr>
        <w:br w:type="page"/>
      </w:r>
    </w:p>
    <w:p w:rsidR="00973943" w:rsidRDefault="00973943" w:rsidP="002F0677">
      <w:pPr>
        <w:rPr>
          <w:sz w:val="24"/>
        </w:rPr>
      </w:pPr>
      <w:r>
        <w:rPr>
          <w:sz w:val="24"/>
        </w:rPr>
        <w:lastRenderedPageBreak/>
        <w:t>2.</w:t>
      </w:r>
    </w:p>
    <w:p w:rsidR="00973943" w:rsidRDefault="00973943" w:rsidP="002F0677">
      <w:pPr>
        <w:rPr>
          <w:sz w:val="24"/>
        </w:rPr>
      </w:pPr>
      <w:r>
        <w:rPr>
          <w:noProof/>
        </w:rPr>
        <w:drawing>
          <wp:inline distT="0" distB="0" distL="0" distR="0" wp14:anchorId="109FB79D" wp14:editId="546CE0C3">
            <wp:extent cx="5943600" cy="334327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a:ln>
                      <a:solidFill>
                        <a:schemeClr val="accent1"/>
                      </a:solidFill>
                    </a:ln>
                  </pic:spPr>
                </pic:pic>
              </a:graphicData>
            </a:graphic>
          </wp:inline>
        </w:drawing>
      </w:r>
    </w:p>
    <w:p w:rsidR="00815E92" w:rsidRDefault="00973943" w:rsidP="002F0677">
      <w:pPr>
        <w:rPr>
          <w:sz w:val="24"/>
        </w:rPr>
      </w:pPr>
      <w:r>
        <w:rPr>
          <w:sz w:val="24"/>
        </w:rPr>
        <w:t>The top visualization</w:t>
      </w:r>
      <w:r w:rsidR="00815E92">
        <w:rPr>
          <w:sz w:val="24"/>
        </w:rPr>
        <w:t xml:space="preserve"> provides us a </w:t>
      </w:r>
      <w:r>
        <w:rPr>
          <w:sz w:val="24"/>
        </w:rPr>
        <w:t>geographical</w:t>
      </w:r>
      <w:r w:rsidR="00815E92">
        <w:rPr>
          <w:sz w:val="24"/>
        </w:rPr>
        <w:t xml:space="preserve"> spread of the Ventur</w:t>
      </w:r>
      <w:r w:rsidR="0008446C">
        <w:rPr>
          <w:sz w:val="24"/>
        </w:rPr>
        <w:t>e Investments across the United States. It is evident that the investment pattern is uneven in the country. The top 10 metros account for more than 75% of the investments. San Francisco Bay Area has the lion’s share with about one-third of the total VC investment. It is followed by the Northeast Corridor (New York-Boston-Washington D.C.) and Southern California Corridor (LA-San Diego-Orange County and Santa Barbara). These are the 3 major clusters of the US.</w:t>
      </w:r>
    </w:p>
    <w:p w:rsidR="006B586E" w:rsidRDefault="00F603D7" w:rsidP="002F0677">
      <w:pPr>
        <w:rPr>
          <w:sz w:val="24"/>
        </w:rPr>
      </w:pPr>
      <w:r>
        <w:rPr>
          <w:sz w:val="24"/>
        </w:rPr>
        <w:t>The bottom left visualization</w:t>
      </w:r>
      <w:r w:rsidR="006B586E">
        <w:rPr>
          <w:sz w:val="24"/>
        </w:rPr>
        <w:t xml:space="preserve"> adds to the jagged pattern of VC investment in the United States. 7 out of the top 10 locations for VC investment are in the SF Bay Area. The distribution of VC investment in not evenly distributed.</w:t>
      </w:r>
    </w:p>
    <w:p w:rsidR="00C97239" w:rsidRPr="006B586E" w:rsidRDefault="00F603D7" w:rsidP="002F0677">
      <w:pPr>
        <w:rPr>
          <w:sz w:val="24"/>
        </w:rPr>
      </w:pPr>
      <w:r>
        <w:rPr>
          <w:sz w:val="24"/>
        </w:rPr>
        <w:t>The bottom right viz.</w:t>
      </w:r>
      <w:r w:rsidR="00815E92">
        <w:rPr>
          <w:sz w:val="24"/>
        </w:rPr>
        <w:t xml:space="preserve"> </w:t>
      </w:r>
      <w:r w:rsidR="00D827AA">
        <w:rPr>
          <w:sz w:val="24"/>
        </w:rPr>
        <w:t xml:space="preserve">provides with the cities which come in the second tier in terms of venture capital investment amount. They also show a rising trend in </w:t>
      </w:r>
      <w:r w:rsidR="006B586E">
        <w:rPr>
          <w:sz w:val="24"/>
        </w:rPr>
        <w:t>venture capital invested year.</w:t>
      </w:r>
      <w:r w:rsidR="00D827AA">
        <w:rPr>
          <w:sz w:val="24"/>
        </w:rPr>
        <w:t xml:space="preserve"> </w:t>
      </w:r>
      <w:r w:rsidR="00815E92">
        <w:rPr>
          <w:sz w:val="24"/>
        </w:rPr>
        <w:t xml:space="preserve"> </w:t>
      </w:r>
    </w:p>
    <w:p w:rsidR="00C97239" w:rsidRDefault="00C97239" w:rsidP="002F0677">
      <w:pPr>
        <w:rPr>
          <w:sz w:val="24"/>
        </w:rPr>
      </w:pPr>
      <w:r>
        <w:rPr>
          <w:sz w:val="24"/>
        </w:rPr>
        <w:t xml:space="preserve"> </w:t>
      </w:r>
    </w:p>
    <w:p w:rsidR="006B586E" w:rsidRDefault="006B586E" w:rsidP="002F0677">
      <w:pPr>
        <w:rPr>
          <w:sz w:val="24"/>
        </w:rPr>
      </w:pPr>
    </w:p>
    <w:p w:rsidR="000D0644" w:rsidRDefault="000D0644">
      <w:pPr>
        <w:rPr>
          <w:sz w:val="24"/>
        </w:rPr>
      </w:pPr>
      <w:r>
        <w:rPr>
          <w:sz w:val="24"/>
        </w:rPr>
        <w:br w:type="page"/>
      </w:r>
    </w:p>
    <w:p w:rsidR="000D0644" w:rsidRDefault="000D0644" w:rsidP="002F0677">
      <w:pPr>
        <w:rPr>
          <w:sz w:val="24"/>
        </w:rPr>
      </w:pPr>
      <w:r>
        <w:rPr>
          <w:sz w:val="24"/>
        </w:rPr>
        <w:lastRenderedPageBreak/>
        <w:t>3.</w:t>
      </w:r>
    </w:p>
    <w:p w:rsidR="000D0644" w:rsidRDefault="000D0644" w:rsidP="002F0677">
      <w:pPr>
        <w:rPr>
          <w:sz w:val="24"/>
        </w:rPr>
      </w:pPr>
      <w:r>
        <w:rPr>
          <w:noProof/>
        </w:rPr>
        <w:drawing>
          <wp:inline distT="0" distB="0" distL="0" distR="0" wp14:anchorId="7FFF9829" wp14:editId="0DD4E877">
            <wp:extent cx="5943600" cy="33432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a:ln>
                      <a:solidFill>
                        <a:schemeClr val="accent1"/>
                      </a:solidFill>
                    </a:ln>
                  </pic:spPr>
                </pic:pic>
              </a:graphicData>
            </a:graphic>
          </wp:inline>
        </w:drawing>
      </w:r>
    </w:p>
    <w:p w:rsidR="000D0644" w:rsidRDefault="000D0644" w:rsidP="000D0644">
      <w:pPr>
        <w:rPr>
          <w:sz w:val="24"/>
        </w:rPr>
      </w:pPr>
      <w:r>
        <w:rPr>
          <w:sz w:val="24"/>
        </w:rPr>
        <w:t xml:space="preserve">The Median CAGR (2010 - 2014) gives us an average of the Median Venture Funding for the different round types. </w:t>
      </w:r>
    </w:p>
    <w:p w:rsidR="00CF5180" w:rsidRPr="00CF5180" w:rsidRDefault="000D0644" w:rsidP="002F0677">
      <w:pPr>
        <w:rPr>
          <w:sz w:val="24"/>
          <w:u w:val="single"/>
        </w:rPr>
      </w:pPr>
      <w:r>
        <w:rPr>
          <w:sz w:val="24"/>
          <w:u w:val="single"/>
        </w:rPr>
        <w:t>Insight</w:t>
      </w:r>
    </w:p>
    <w:p w:rsidR="006B586E" w:rsidRDefault="0057270D" w:rsidP="002F0677">
      <w:pPr>
        <w:rPr>
          <w:sz w:val="24"/>
        </w:rPr>
      </w:pPr>
      <w:r w:rsidRPr="00755D23">
        <w:rPr>
          <w:sz w:val="24"/>
        </w:rPr>
        <w:t xml:space="preserve">As </w:t>
      </w:r>
      <w:r w:rsidR="00EA73A6" w:rsidRPr="00755D23">
        <w:rPr>
          <w:sz w:val="24"/>
        </w:rPr>
        <w:t xml:space="preserve">observed </w:t>
      </w:r>
      <w:r w:rsidR="000D0644" w:rsidRPr="00755D23">
        <w:rPr>
          <w:sz w:val="24"/>
        </w:rPr>
        <w:t>from the box plot for</w:t>
      </w:r>
      <w:r w:rsidR="00EA73A6" w:rsidRPr="00755D23">
        <w:rPr>
          <w:sz w:val="24"/>
        </w:rPr>
        <w:t xml:space="preserve"> 2014, the median of Series D round was $26 million, approximately 63% higher than that in 2013. </w:t>
      </w:r>
      <w:r w:rsidR="00EA73A6" w:rsidRPr="009C5349">
        <w:rPr>
          <w:i/>
          <w:sz w:val="24"/>
        </w:rPr>
        <w:t xml:space="preserve">The noticeable increase at the later stages indicates to the deep pipeline of companies </w:t>
      </w:r>
      <w:r w:rsidR="00111D7D">
        <w:rPr>
          <w:i/>
          <w:sz w:val="24"/>
        </w:rPr>
        <w:t xml:space="preserve">that </w:t>
      </w:r>
      <w:r w:rsidR="00111D7D" w:rsidRPr="009C5349">
        <w:rPr>
          <w:i/>
          <w:sz w:val="24"/>
        </w:rPr>
        <w:t xml:space="preserve">are choosing to stay private for longer </w:t>
      </w:r>
      <w:r w:rsidR="00111D7D">
        <w:rPr>
          <w:i/>
          <w:sz w:val="24"/>
        </w:rPr>
        <w:t xml:space="preserve">by </w:t>
      </w:r>
      <w:r w:rsidR="00EA73A6" w:rsidRPr="009C5349">
        <w:rPr>
          <w:i/>
          <w:sz w:val="24"/>
        </w:rPr>
        <w:t>delaying IPO plans.</w:t>
      </w:r>
      <w:r w:rsidR="00EA73A6">
        <w:rPr>
          <w:sz w:val="24"/>
        </w:rPr>
        <w:tab/>
      </w:r>
    </w:p>
    <w:p w:rsidR="007B02D8" w:rsidRDefault="007B02D8" w:rsidP="002F0677">
      <w:pPr>
        <w:rPr>
          <w:sz w:val="24"/>
        </w:rPr>
      </w:pPr>
    </w:p>
    <w:p w:rsidR="009F3BB6" w:rsidRDefault="009F3BB6">
      <w:pPr>
        <w:rPr>
          <w:sz w:val="24"/>
        </w:rPr>
      </w:pPr>
      <w:r>
        <w:rPr>
          <w:sz w:val="24"/>
        </w:rPr>
        <w:br w:type="page"/>
      </w:r>
    </w:p>
    <w:p w:rsidR="009F3BB6" w:rsidRDefault="009F3BB6" w:rsidP="002F0677">
      <w:pPr>
        <w:rPr>
          <w:sz w:val="24"/>
        </w:rPr>
      </w:pPr>
      <w:r>
        <w:rPr>
          <w:sz w:val="24"/>
        </w:rPr>
        <w:lastRenderedPageBreak/>
        <w:t>4.</w:t>
      </w:r>
    </w:p>
    <w:p w:rsidR="009F3BB6" w:rsidRDefault="009F3BB6" w:rsidP="002F0677">
      <w:pPr>
        <w:rPr>
          <w:sz w:val="24"/>
        </w:rPr>
      </w:pPr>
      <w:r>
        <w:rPr>
          <w:noProof/>
        </w:rPr>
        <w:drawing>
          <wp:inline distT="0" distB="0" distL="0" distR="0" wp14:anchorId="3B1A8C0B" wp14:editId="3F3432B5">
            <wp:extent cx="5943600" cy="334327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a:ln>
                      <a:solidFill>
                        <a:schemeClr val="accent1"/>
                      </a:solidFill>
                    </a:ln>
                  </pic:spPr>
                </pic:pic>
              </a:graphicData>
            </a:graphic>
          </wp:inline>
        </w:drawing>
      </w:r>
    </w:p>
    <w:p w:rsidR="007B02D8" w:rsidRDefault="00895CEB" w:rsidP="002F0677">
      <w:pPr>
        <w:rPr>
          <w:sz w:val="24"/>
        </w:rPr>
      </w:pPr>
      <w:r>
        <w:rPr>
          <w:sz w:val="24"/>
        </w:rPr>
        <w:t xml:space="preserve">Top left viz. </w:t>
      </w:r>
      <w:r w:rsidR="007B02D8">
        <w:rPr>
          <w:sz w:val="24"/>
        </w:rPr>
        <w:t xml:space="preserve">provides with the top markets based on amount of VC investment. </w:t>
      </w:r>
    </w:p>
    <w:p w:rsidR="007B02D8" w:rsidRDefault="00EA76A1" w:rsidP="002F0677">
      <w:pPr>
        <w:rPr>
          <w:sz w:val="24"/>
        </w:rPr>
      </w:pPr>
      <w:r>
        <w:rPr>
          <w:sz w:val="24"/>
        </w:rPr>
        <w:t xml:space="preserve">Top right viz. provides a </w:t>
      </w:r>
      <w:r w:rsidR="00895CEB">
        <w:rPr>
          <w:sz w:val="24"/>
        </w:rPr>
        <w:t xml:space="preserve">yearly update on the emerging market areas for venture </w:t>
      </w:r>
      <w:r w:rsidR="00357FF8">
        <w:rPr>
          <w:sz w:val="24"/>
        </w:rPr>
        <w:t>investment</w:t>
      </w:r>
      <w:r w:rsidR="00895CEB">
        <w:rPr>
          <w:sz w:val="24"/>
        </w:rPr>
        <w:t>.</w:t>
      </w:r>
    </w:p>
    <w:p w:rsidR="002613CA" w:rsidRDefault="00EA76A1" w:rsidP="002F0677">
      <w:pPr>
        <w:rPr>
          <w:sz w:val="24"/>
        </w:rPr>
      </w:pPr>
      <w:r>
        <w:rPr>
          <w:sz w:val="24"/>
        </w:rPr>
        <w:t xml:space="preserve">The bottom viz. </w:t>
      </w:r>
      <w:r w:rsidR="007B02D8">
        <w:rPr>
          <w:sz w:val="24"/>
        </w:rPr>
        <w:t xml:space="preserve">provides with the changing trends in the markets. </w:t>
      </w:r>
      <w:r w:rsidR="002613CA">
        <w:rPr>
          <w:sz w:val="24"/>
        </w:rPr>
        <w:t>Though Biotech still remains a leader in receiving the funding, other m</w:t>
      </w:r>
      <w:r w:rsidR="007B02D8">
        <w:rPr>
          <w:sz w:val="24"/>
        </w:rPr>
        <w:t xml:space="preserve">arkets such as </w:t>
      </w:r>
      <w:r w:rsidR="002613CA">
        <w:rPr>
          <w:sz w:val="24"/>
        </w:rPr>
        <w:t>E</w:t>
      </w:r>
      <w:r w:rsidR="007B02D8">
        <w:rPr>
          <w:sz w:val="24"/>
        </w:rPr>
        <w:t xml:space="preserve">nterprise, </w:t>
      </w:r>
      <w:r w:rsidR="002613CA">
        <w:rPr>
          <w:sz w:val="24"/>
        </w:rPr>
        <w:t>H</w:t>
      </w:r>
      <w:r w:rsidR="007B02D8">
        <w:rPr>
          <w:sz w:val="24"/>
        </w:rPr>
        <w:t xml:space="preserve">ardware, </w:t>
      </w:r>
      <w:r w:rsidR="002613CA">
        <w:rPr>
          <w:sz w:val="24"/>
        </w:rPr>
        <w:t>S</w:t>
      </w:r>
      <w:r w:rsidR="007B02D8">
        <w:rPr>
          <w:sz w:val="24"/>
        </w:rPr>
        <w:t>ecurity</w:t>
      </w:r>
      <w:r w:rsidR="002235B5">
        <w:rPr>
          <w:sz w:val="24"/>
        </w:rPr>
        <w:t xml:space="preserve">, </w:t>
      </w:r>
      <w:r w:rsidR="002613CA">
        <w:rPr>
          <w:sz w:val="24"/>
        </w:rPr>
        <w:t>E</w:t>
      </w:r>
      <w:r w:rsidR="002235B5">
        <w:rPr>
          <w:sz w:val="24"/>
        </w:rPr>
        <w:t xml:space="preserve">ducation, </w:t>
      </w:r>
      <w:r w:rsidR="002613CA">
        <w:rPr>
          <w:sz w:val="24"/>
        </w:rPr>
        <w:t>F</w:t>
      </w:r>
      <w:r w:rsidR="002235B5">
        <w:rPr>
          <w:sz w:val="24"/>
        </w:rPr>
        <w:t>inance</w:t>
      </w:r>
      <w:r w:rsidR="007B02D8">
        <w:rPr>
          <w:sz w:val="24"/>
        </w:rPr>
        <w:t xml:space="preserve"> and </w:t>
      </w:r>
      <w:r w:rsidR="002613CA">
        <w:rPr>
          <w:sz w:val="24"/>
        </w:rPr>
        <w:t>A</w:t>
      </w:r>
      <w:r w:rsidR="007B02D8">
        <w:rPr>
          <w:sz w:val="24"/>
        </w:rPr>
        <w:t>nalytics have received increased funding year on year.</w:t>
      </w:r>
      <w:r w:rsidR="002235B5">
        <w:rPr>
          <w:sz w:val="24"/>
        </w:rPr>
        <w:t xml:space="preserve"> </w:t>
      </w:r>
    </w:p>
    <w:p w:rsidR="00576143" w:rsidRDefault="002235B5" w:rsidP="002F0677">
      <w:pPr>
        <w:rPr>
          <w:sz w:val="24"/>
        </w:rPr>
      </w:pPr>
      <w:r>
        <w:rPr>
          <w:sz w:val="24"/>
        </w:rPr>
        <w:t xml:space="preserve">Markets such as </w:t>
      </w:r>
      <w:r w:rsidR="002613CA">
        <w:rPr>
          <w:sz w:val="24"/>
        </w:rPr>
        <w:t>M</w:t>
      </w:r>
      <w:r>
        <w:rPr>
          <w:sz w:val="24"/>
        </w:rPr>
        <w:t xml:space="preserve">obile, </w:t>
      </w:r>
      <w:r w:rsidR="002613CA">
        <w:rPr>
          <w:sz w:val="24"/>
        </w:rPr>
        <w:t>C</w:t>
      </w:r>
      <w:r>
        <w:rPr>
          <w:sz w:val="24"/>
        </w:rPr>
        <w:t xml:space="preserve">lean </w:t>
      </w:r>
      <w:r w:rsidR="002613CA">
        <w:rPr>
          <w:sz w:val="24"/>
        </w:rPr>
        <w:t>T</w:t>
      </w:r>
      <w:r>
        <w:rPr>
          <w:sz w:val="24"/>
        </w:rPr>
        <w:t xml:space="preserve">echnology, </w:t>
      </w:r>
      <w:r w:rsidR="002613CA">
        <w:rPr>
          <w:sz w:val="24"/>
        </w:rPr>
        <w:t>S</w:t>
      </w:r>
      <w:r>
        <w:rPr>
          <w:sz w:val="24"/>
        </w:rPr>
        <w:t xml:space="preserve">ocial, </w:t>
      </w:r>
      <w:r w:rsidR="002613CA">
        <w:rPr>
          <w:sz w:val="24"/>
        </w:rPr>
        <w:t>G</w:t>
      </w:r>
      <w:r>
        <w:rPr>
          <w:sz w:val="24"/>
        </w:rPr>
        <w:t>aming</w:t>
      </w:r>
      <w:r w:rsidR="009513C6">
        <w:rPr>
          <w:sz w:val="24"/>
        </w:rPr>
        <w:t>,</w:t>
      </w:r>
      <w:r>
        <w:rPr>
          <w:sz w:val="24"/>
        </w:rPr>
        <w:t xml:space="preserve"> and </w:t>
      </w:r>
      <w:r w:rsidR="002613CA">
        <w:rPr>
          <w:sz w:val="24"/>
        </w:rPr>
        <w:t>A</w:t>
      </w:r>
      <w:r>
        <w:rPr>
          <w:sz w:val="24"/>
        </w:rPr>
        <w:t>dvertising are on the downhill.</w:t>
      </w:r>
    </w:p>
    <w:p w:rsidR="00576143" w:rsidRDefault="00576143">
      <w:pPr>
        <w:rPr>
          <w:sz w:val="24"/>
        </w:rPr>
      </w:pPr>
      <w:r>
        <w:rPr>
          <w:sz w:val="24"/>
        </w:rPr>
        <w:br w:type="page"/>
      </w:r>
    </w:p>
    <w:p w:rsidR="00B405D5" w:rsidRPr="00B405D5" w:rsidRDefault="00B405D5" w:rsidP="002F0677">
      <w:pPr>
        <w:rPr>
          <w:sz w:val="24"/>
        </w:rPr>
      </w:pPr>
      <w:r w:rsidRPr="00B405D5">
        <w:rPr>
          <w:sz w:val="24"/>
        </w:rPr>
        <w:lastRenderedPageBreak/>
        <w:t>5.</w:t>
      </w:r>
    </w:p>
    <w:p w:rsidR="00B405D5" w:rsidRDefault="00B405D5" w:rsidP="002F0677">
      <w:pPr>
        <w:rPr>
          <w:sz w:val="24"/>
          <w:u w:val="single"/>
        </w:rPr>
      </w:pPr>
      <w:r>
        <w:rPr>
          <w:noProof/>
        </w:rPr>
        <w:drawing>
          <wp:inline distT="0" distB="0" distL="0" distR="0" wp14:anchorId="09BAE56D" wp14:editId="04562357">
            <wp:extent cx="5943600" cy="33432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a:ln>
                      <a:solidFill>
                        <a:schemeClr val="accent1"/>
                      </a:solidFill>
                    </a:ln>
                  </pic:spPr>
                </pic:pic>
              </a:graphicData>
            </a:graphic>
          </wp:inline>
        </w:drawing>
      </w:r>
    </w:p>
    <w:p w:rsidR="00B405D5" w:rsidRDefault="00B405D5" w:rsidP="002F0677">
      <w:pPr>
        <w:rPr>
          <w:sz w:val="24"/>
          <w:u w:val="single"/>
        </w:rPr>
      </w:pPr>
    </w:p>
    <w:p w:rsidR="00CF5180" w:rsidRPr="00CF5180" w:rsidRDefault="00CF5180" w:rsidP="002F0677">
      <w:pPr>
        <w:rPr>
          <w:sz w:val="24"/>
          <w:u w:val="single"/>
        </w:rPr>
      </w:pPr>
      <w:r w:rsidRPr="00CF5180">
        <w:rPr>
          <w:sz w:val="24"/>
          <w:u w:val="single"/>
        </w:rPr>
        <w:t>Insights</w:t>
      </w:r>
    </w:p>
    <w:p w:rsidR="00800A11" w:rsidRDefault="00620CE3" w:rsidP="009560EF">
      <w:pPr>
        <w:pStyle w:val="ListParagraph"/>
        <w:numPr>
          <w:ilvl w:val="0"/>
          <w:numId w:val="1"/>
        </w:numPr>
        <w:rPr>
          <w:i/>
          <w:sz w:val="24"/>
        </w:rPr>
      </w:pPr>
      <w:r w:rsidRPr="009560EF">
        <w:rPr>
          <w:i/>
          <w:sz w:val="24"/>
        </w:rPr>
        <w:t xml:space="preserve">The Trend Line in the visualization can be attributed for developing a correlation between the Home Price Index (1 year change) and the Per Capita Venture Investment of the State. As can be observed in the </w:t>
      </w:r>
      <w:r w:rsidR="00B405D5" w:rsidRPr="009560EF">
        <w:rPr>
          <w:i/>
          <w:sz w:val="24"/>
        </w:rPr>
        <w:t>viz. above</w:t>
      </w:r>
      <w:r w:rsidRPr="009560EF">
        <w:rPr>
          <w:i/>
          <w:sz w:val="24"/>
        </w:rPr>
        <w:t>, the trend line is rising with the increase in per capita venture investment along with a rising Home Price index.</w:t>
      </w:r>
    </w:p>
    <w:p w:rsidR="00D2184F" w:rsidRDefault="00D2184F" w:rsidP="009560EF">
      <w:pPr>
        <w:rPr>
          <w:noProof/>
        </w:rPr>
      </w:pPr>
      <w:r>
        <w:rPr>
          <w:noProof/>
        </w:rPr>
        <w:t xml:space="preserve">2009 </w:t>
      </w:r>
      <w:r w:rsidR="009560EF">
        <w:rPr>
          <w:noProof/>
        </w:rPr>
        <w:drawing>
          <wp:inline distT="0" distB="0" distL="0" distR="0" wp14:anchorId="4EB8AD25" wp14:editId="6660379C">
            <wp:extent cx="1685462" cy="1388879"/>
            <wp:effectExtent l="19050" t="19050" r="1016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5715" cy="1405568"/>
                    </a:xfrm>
                    <a:prstGeom prst="rect">
                      <a:avLst/>
                    </a:prstGeom>
                    <a:ln>
                      <a:solidFill>
                        <a:schemeClr val="accent1"/>
                      </a:solidFill>
                    </a:ln>
                  </pic:spPr>
                </pic:pic>
              </a:graphicData>
            </a:graphic>
          </wp:inline>
        </w:drawing>
      </w:r>
      <w:r w:rsidR="009560EF" w:rsidRPr="009560EF">
        <w:rPr>
          <w:noProof/>
        </w:rPr>
        <w:t xml:space="preserve"> </w:t>
      </w:r>
      <w:r w:rsidR="009560EF">
        <w:rPr>
          <w:noProof/>
        </w:rPr>
        <w:t xml:space="preserve">  </w:t>
      </w:r>
      <w:r w:rsidR="009560EF">
        <w:rPr>
          <w:noProof/>
        </w:rPr>
        <w:tab/>
      </w:r>
      <w:r>
        <w:rPr>
          <w:noProof/>
        </w:rPr>
        <w:t xml:space="preserve">2010 </w:t>
      </w:r>
      <w:r w:rsidR="009560EF">
        <w:rPr>
          <w:noProof/>
        </w:rPr>
        <w:drawing>
          <wp:inline distT="0" distB="0" distL="0" distR="0" wp14:anchorId="03DC2346" wp14:editId="32A899BC">
            <wp:extent cx="2161935" cy="1415153"/>
            <wp:effectExtent l="19050" t="19050" r="1016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0729" cy="1427455"/>
                    </a:xfrm>
                    <a:prstGeom prst="rect">
                      <a:avLst/>
                    </a:prstGeom>
                    <a:ln>
                      <a:solidFill>
                        <a:schemeClr val="accent1"/>
                      </a:solidFill>
                    </a:ln>
                  </pic:spPr>
                </pic:pic>
              </a:graphicData>
            </a:graphic>
          </wp:inline>
        </w:drawing>
      </w:r>
      <w:r w:rsidR="009560EF" w:rsidRPr="009560EF">
        <w:rPr>
          <w:noProof/>
        </w:rPr>
        <w:t xml:space="preserve"> </w:t>
      </w:r>
    </w:p>
    <w:p w:rsidR="009560EF" w:rsidRDefault="00D2184F" w:rsidP="009560EF">
      <w:pPr>
        <w:rPr>
          <w:noProof/>
        </w:rPr>
      </w:pPr>
      <w:r>
        <w:rPr>
          <w:noProof/>
        </w:rPr>
        <w:lastRenderedPageBreak/>
        <w:t>2011</w:t>
      </w:r>
      <w:r w:rsidR="009560EF">
        <w:rPr>
          <w:noProof/>
        </w:rPr>
        <w:drawing>
          <wp:inline distT="0" distB="0" distL="0" distR="0" wp14:anchorId="49EAF138" wp14:editId="5290D109">
            <wp:extent cx="2935129" cy="2030630"/>
            <wp:effectExtent l="19050" t="19050" r="1778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7655" cy="2046214"/>
                    </a:xfrm>
                    <a:prstGeom prst="rect">
                      <a:avLst/>
                    </a:prstGeom>
                    <a:ln>
                      <a:solidFill>
                        <a:schemeClr val="accent1"/>
                      </a:solidFill>
                    </a:ln>
                  </pic:spPr>
                </pic:pic>
              </a:graphicData>
            </a:graphic>
          </wp:inline>
        </w:drawing>
      </w:r>
      <w:r w:rsidR="009560EF">
        <w:rPr>
          <w:noProof/>
        </w:rPr>
        <w:t xml:space="preserve">  </w:t>
      </w:r>
      <w:r>
        <w:rPr>
          <w:noProof/>
        </w:rPr>
        <w:t xml:space="preserve">2012 </w:t>
      </w:r>
      <w:r w:rsidR="009560EF">
        <w:rPr>
          <w:noProof/>
        </w:rPr>
        <w:t xml:space="preserve"> </w:t>
      </w:r>
      <w:r>
        <w:rPr>
          <w:noProof/>
        </w:rPr>
        <w:drawing>
          <wp:inline distT="0" distB="0" distL="0" distR="0" wp14:anchorId="7E05B588" wp14:editId="3C12114D">
            <wp:extent cx="2009825" cy="2064819"/>
            <wp:effectExtent l="19050" t="19050" r="952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2588" cy="2077931"/>
                    </a:xfrm>
                    <a:prstGeom prst="rect">
                      <a:avLst/>
                    </a:prstGeom>
                    <a:ln>
                      <a:solidFill>
                        <a:schemeClr val="accent1"/>
                      </a:solidFill>
                    </a:ln>
                  </pic:spPr>
                </pic:pic>
              </a:graphicData>
            </a:graphic>
          </wp:inline>
        </w:drawing>
      </w:r>
      <w:r w:rsidR="009560EF">
        <w:rPr>
          <w:noProof/>
        </w:rPr>
        <w:tab/>
      </w:r>
    </w:p>
    <w:p w:rsidR="009560EF" w:rsidRPr="009560EF" w:rsidRDefault="00D2184F" w:rsidP="009560EF">
      <w:pPr>
        <w:rPr>
          <w:i/>
          <w:sz w:val="24"/>
        </w:rPr>
      </w:pPr>
      <w:r w:rsidRPr="00D2184F">
        <w:rPr>
          <w:sz w:val="24"/>
        </w:rPr>
        <w:t>2013</w:t>
      </w:r>
      <w:r w:rsidR="009560EF">
        <w:rPr>
          <w:noProof/>
        </w:rPr>
        <w:drawing>
          <wp:inline distT="0" distB="0" distL="0" distR="0" wp14:anchorId="7719CD78" wp14:editId="2A13425D">
            <wp:extent cx="1985211" cy="2178890"/>
            <wp:effectExtent l="19050" t="19050" r="1524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3676" cy="2188181"/>
                    </a:xfrm>
                    <a:prstGeom prst="rect">
                      <a:avLst/>
                    </a:prstGeom>
                    <a:ln>
                      <a:solidFill>
                        <a:schemeClr val="accent1"/>
                      </a:solidFill>
                    </a:ln>
                  </pic:spPr>
                </pic:pic>
              </a:graphicData>
            </a:graphic>
          </wp:inline>
        </w:drawing>
      </w:r>
      <w:r>
        <w:rPr>
          <w:sz w:val="24"/>
        </w:rPr>
        <w:t xml:space="preserve"> 2014 </w:t>
      </w:r>
      <w:r w:rsidR="009560EF">
        <w:rPr>
          <w:noProof/>
        </w:rPr>
        <w:drawing>
          <wp:inline distT="0" distB="0" distL="0" distR="0" wp14:anchorId="4F9DBE47" wp14:editId="395D7EBA">
            <wp:extent cx="2021305" cy="2161918"/>
            <wp:effectExtent l="19050" t="19050" r="17145"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3375" cy="2174827"/>
                    </a:xfrm>
                    <a:prstGeom prst="rect">
                      <a:avLst/>
                    </a:prstGeom>
                    <a:ln>
                      <a:solidFill>
                        <a:schemeClr val="accent1"/>
                      </a:solidFill>
                    </a:ln>
                  </pic:spPr>
                </pic:pic>
              </a:graphicData>
            </a:graphic>
          </wp:inline>
        </w:drawing>
      </w:r>
    </w:p>
    <w:p w:rsidR="00E832F7" w:rsidRPr="009560EF" w:rsidRDefault="00E832F7" w:rsidP="00E832F7">
      <w:pPr>
        <w:rPr>
          <w:i/>
          <w:sz w:val="24"/>
        </w:rPr>
      </w:pPr>
    </w:p>
    <w:p w:rsidR="00E832F7" w:rsidRDefault="00E832F7" w:rsidP="00E832F7">
      <w:pPr>
        <w:pStyle w:val="ListParagraph"/>
        <w:numPr>
          <w:ilvl w:val="0"/>
          <w:numId w:val="1"/>
        </w:numPr>
        <w:rPr>
          <w:i/>
          <w:sz w:val="24"/>
        </w:rPr>
      </w:pPr>
      <w:r w:rsidRPr="009560EF">
        <w:rPr>
          <w:i/>
          <w:sz w:val="24"/>
        </w:rPr>
        <w:t>Also, due to California’s large overall population, Massachusetts outperformed the former in terms of per capita venture investment for years before 2014. Though, the increasing investment in other areas of California like Los Angeles and San Diego the per capita for the state has dominated over the other.</w:t>
      </w:r>
      <w:r>
        <w:rPr>
          <w:i/>
          <w:sz w:val="24"/>
        </w:rPr>
        <w:t xml:space="preserve">  (</w:t>
      </w:r>
      <w:r>
        <w:rPr>
          <w:sz w:val="24"/>
        </w:rPr>
        <w:t xml:space="preserve">Observe the screenshots below for the per capita investments for SF Bay area and Boston) </w:t>
      </w:r>
    </w:p>
    <w:p w:rsidR="00A37437" w:rsidRDefault="00A37437" w:rsidP="00A37437">
      <w:pPr>
        <w:ind w:firstLine="720"/>
        <w:rPr>
          <w:sz w:val="24"/>
        </w:rPr>
      </w:pPr>
    </w:p>
    <w:p w:rsidR="00A37437" w:rsidRDefault="00F5730D" w:rsidP="00A37437">
      <w:pPr>
        <w:ind w:firstLine="720"/>
        <w:rPr>
          <w:noProof/>
        </w:rPr>
      </w:pPr>
      <w:r>
        <w:rPr>
          <w:sz w:val="24"/>
        </w:rPr>
        <w:t>Los Angeles</w:t>
      </w:r>
      <w:r w:rsidR="000D7BD6">
        <w:rPr>
          <w:sz w:val="24"/>
        </w:rPr>
        <w:t>/San Diego</w:t>
      </w:r>
      <w:r>
        <w:rPr>
          <w:sz w:val="24"/>
        </w:rPr>
        <w:t xml:space="preserve"> </w:t>
      </w:r>
      <w:proofErr w:type="gramStart"/>
      <w:r w:rsidR="00B8717C">
        <w:rPr>
          <w:sz w:val="24"/>
        </w:rPr>
        <w:t>Per</w:t>
      </w:r>
      <w:proofErr w:type="gramEnd"/>
      <w:r w:rsidR="00B8717C">
        <w:rPr>
          <w:sz w:val="24"/>
        </w:rPr>
        <w:t xml:space="preserve"> Capita - 2013</w:t>
      </w:r>
    </w:p>
    <w:p w:rsidR="00682507" w:rsidRDefault="00A37437" w:rsidP="00A37437">
      <w:pPr>
        <w:ind w:firstLine="810"/>
        <w:rPr>
          <w:sz w:val="24"/>
        </w:rPr>
      </w:pPr>
      <w:r>
        <w:rPr>
          <w:noProof/>
        </w:rPr>
        <w:drawing>
          <wp:inline distT="0" distB="0" distL="0" distR="0" wp14:anchorId="1C50A6F6" wp14:editId="5D21DF97">
            <wp:extent cx="1335882" cy="1428813"/>
            <wp:effectExtent l="19050" t="19050" r="1714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39039" cy="1432190"/>
                    </a:xfrm>
                    <a:prstGeom prst="rect">
                      <a:avLst/>
                    </a:prstGeom>
                    <a:ln>
                      <a:solidFill>
                        <a:schemeClr val="accent1"/>
                      </a:solidFill>
                    </a:ln>
                  </pic:spPr>
                </pic:pic>
              </a:graphicData>
            </a:graphic>
          </wp:inline>
        </w:drawing>
      </w:r>
    </w:p>
    <w:p w:rsidR="00B8717C" w:rsidRDefault="00B8717C" w:rsidP="002F0677">
      <w:pPr>
        <w:rPr>
          <w:sz w:val="24"/>
        </w:rPr>
      </w:pPr>
      <w:r>
        <w:rPr>
          <w:sz w:val="24"/>
        </w:rPr>
        <w:lastRenderedPageBreak/>
        <w:tab/>
        <w:t xml:space="preserve">LA/San Diego </w:t>
      </w:r>
      <w:proofErr w:type="gramStart"/>
      <w:r>
        <w:rPr>
          <w:sz w:val="24"/>
        </w:rPr>
        <w:t>Per</w:t>
      </w:r>
      <w:proofErr w:type="gramEnd"/>
      <w:r>
        <w:rPr>
          <w:sz w:val="24"/>
        </w:rPr>
        <w:t xml:space="preserve"> Capita - 2014</w:t>
      </w:r>
    </w:p>
    <w:p w:rsidR="00F5730D" w:rsidRDefault="000D7BD6" w:rsidP="00B8717C">
      <w:pPr>
        <w:ind w:firstLine="810"/>
        <w:rPr>
          <w:sz w:val="24"/>
        </w:rPr>
      </w:pPr>
      <w:r>
        <w:rPr>
          <w:noProof/>
        </w:rPr>
        <w:drawing>
          <wp:inline distT="0" distB="0" distL="0" distR="0" wp14:anchorId="0C151961" wp14:editId="5E990293">
            <wp:extent cx="2528888" cy="1941636"/>
            <wp:effectExtent l="19050" t="19050" r="24130"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4243" cy="1961103"/>
                    </a:xfrm>
                    <a:prstGeom prst="rect">
                      <a:avLst/>
                    </a:prstGeom>
                    <a:ln>
                      <a:solidFill>
                        <a:schemeClr val="accent1"/>
                      </a:solidFill>
                    </a:ln>
                  </pic:spPr>
                </pic:pic>
              </a:graphicData>
            </a:graphic>
          </wp:inline>
        </w:drawing>
      </w:r>
    </w:p>
    <w:p w:rsidR="00241107" w:rsidRDefault="00241107" w:rsidP="002F0677">
      <w:pPr>
        <w:rPr>
          <w:sz w:val="24"/>
        </w:rPr>
      </w:pPr>
      <w:r>
        <w:rPr>
          <w:sz w:val="24"/>
        </w:rPr>
        <w:t>There has been an increase in the per capita of LA from 2013 to 2014.</w:t>
      </w:r>
    </w:p>
    <w:p w:rsidR="00EA4317" w:rsidRDefault="00EA4317">
      <w:pPr>
        <w:rPr>
          <w:sz w:val="24"/>
          <w:u w:val="single"/>
        </w:rPr>
      </w:pPr>
      <w:r>
        <w:rPr>
          <w:sz w:val="24"/>
          <w:u w:val="single"/>
        </w:rPr>
        <w:br w:type="page"/>
      </w:r>
    </w:p>
    <w:p w:rsidR="00EA4317" w:rsidRDefault="00EA4317" w:rsidP="00715A94">
      <w:pPr>
        <w:rPr>
          <w:sz w:val="24"/>
          <w:u w:val="single"/>
        </w:rPr>
      </w:pPr>
      <w:r>
        <w:rPr>
          <w:sz w:val="24"/>
          <w:u w:val="single"/>
        </w:rPr>
        <w:lastRenderedPageBreak/>
        <w:t>6.</w:t>
      </w:r>
    </w:p>
    <w:p w:rsidR="00EA4317" w:rsidRDefault="00EA4317" w:rsidP="00715A94">
      <w:pPr>
        <w:rPr>
          <w:sz w:val="24"/>
          <w:u w:val="single"/>
        </w:rPr>
      </w:pPr>
      <w:r>
        <w:rPr>
          <w:noProof/>
        </w:rPr>
        <w:drawing>
          <wp:inline distT="0" distB="0" distL="0" distR="0" wp14:anchorId="3EF3202C" wp14:editId="620B0364">
            <wp:extent cx="5943600" cy="33432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a:ln>
                      <a:solidFill>
                        <a:schemeClr val="accent1"/>
                      </a:solidFill>
                    </a:ln>
                  </pic:spPr>
                </pic:pic>
              </a:graphicData>
            </a:graphic>
          </wp:inline>
        </w:drawing>
      </w:r>
    </w:p>
    <w:p w:rsidR="00CF5180" w:rsidRPr="00CF5180" w:rsidRDefault="00CF5180" w:rsidP="00715A94">
      <w:pPr>
        <w:rPr>
          <w:sz w:val="24"/>
          <w:u w:val="single"/>
        </w:rPr>
      </w:pPr>
      <w:r w:rsidRPr="00CF5180">
        <w:rPr>
          <w:sz w:val="24"/>
          <w:u w:val="single"/>
        </w:rPr>
        <w:t>Insights</w:t>
      </w:r>
    </w:p>
    <w:p w:rsidR="00576143" w:rsidRPr="00CF5180" w:rsidRDefault="00715A94" w:rsidP="00715A94">
      <w:pPr>
        <w:rPr>
          <w:i/>
          <w:sz w:val="24"/>
        </w:rPr>
      </w:pPr>
      <w:r w:rsidRPr="00CF5180">
        <w:rPr>
          <w:i/>
          <w:sz w:val="24"/>
        </w:rPr>
        <w:t>This visualization provides us with a relation between different market segments in terms of their investments.</w:t>
      </w:r>
      <w:r w:rsidR="0005026E" w:rsidRPr="00CF5180">
        <w:rPr>
          <w:i/>
          <w:sz w:val="24"/>
        </w:rPr>
        <w:t xml:space="preserve"> </w:t>
      </w:r>
      <w:r w:rsidRPr="00CF5180">
        <w:rPr>
          <w:i/>
          <w:sz w:val="24"/>
        </w:rPr>
        <w:t xml:space="preserve">It can also be taken into account that the </w:t>
      </w:r>
      <w:r w:rsidR="0005026E" w:rsidRPr="00CF5180">
        <w:rPr>
          <w:i/>
          <w:sz w:val="24"/>
        </w:rPr>
        <w:t xml:space="preserve">Venture Capitalists who are investing in one or more market segments are also investing in market areas belonging to </w:t>
      </w:r>
      <w:r w:rsidRPr="00CF5180">
        <w:rPr>
          <w:i/>
          <w:sz w:val="24"/>
        </w:rPr>
        <w:t xml:space="preserve">the same </w:t>
      </w:r>
      <w:r w:rsidR="0005026E" w:rsidRPr="00CF5180">
        <w:rPr>
          <w:i/>
          <w:sz w:val="24"/>
        </w:rPr>
        <w:t>clusters.</w:t>
      </w:r>
    </w:p>
    <w:sectPr w:rsidR="00576143" w:rsidRPr="00CF51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05823E9"/>
    <w:multiLevelType w:val="hybridMultilevel"/>
    <w:tmpl w:val="5B8A17A0"/>
    <w:lvl w:ilvl="0" w:tplc="B67AF6CA">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CD3"/>
    <w:rsid w:val="00021A6E"/>
    <w:rsid w:val="0005026E"/>
    <w:rsid w:val="000740E0"/>
    <w:rsid w:val="0008446C"/>
    <w:rsid w:val="000A63E1"/>
    <w:rsid w:val="000D0644"/>
    <w:rsid w:val="000D7BD6"/>
    <w:rsid w:val="00105F24"/>
    <w:rsid w:val="00111D7D"/>
    <w:rsid w:val="00135DFE"/>
    <w:rsid w:val="00144EE0"/>
    <w:rsid w:val="00185CD3"/>
    <w:rsid w:val="0018665A"/>
    <w:rsid w:val="001A1761"/>
    <w:rsid w:val="002235B5"/>
    <w:rsid w:val="00241107"/>
    <w:rsid w:val="002613CA"/>
    <w:rsid w:val="002D7A37"/>
    <w:rsid w:val="002F0677"/>
    <w:rsid w:val="00357FF8"/>
    <w:rsid w:val="003650D9"/>
    <w:rsid w:val="00396580"/>
    <w:rsid w:val="003C7A0F"/>
    <w:rsid w:val="004003C9"/>
    <w:rsid w:val="00486725"/>
    <w:rsid w:val="0051170E"/>
    <w:rsid w:val="005129AD"/>
    <w:rsid w:val="0052392F"/>
    <w:rsid w:val="0057270D"/>
    <w:rsid w:val="00576143"/>
    <w:rsid w:val="005C647F"/>
    <w:rsid w:val="00620CE3"/>
    <w:rsid w:val="006444C8"/>
    <w:rsid w:val="00654751"/>
    <w:rsid w:val="00656282"/>
    <w:rsid w:val="00682507"/>
    <w:rsid w:val="006B586E"/>
    <w:rsid w:val="006C5CC3"/>
    <w:rsid w:val="006D6F97"/>
    <w:rsid w:val="00715A94"/>
    <w:rsid w:val="007344DA"/>
    <w:rsid w:val="00755C70"/>
    <w:rsid w:val="00755D23"/>
    <w:rsid w:val="00761629"/>
    <w:rsid w:val="007A3C8C"/>
    <w:rsid w:val="007B02D8"/>
    <w:rsid w:val="007F3D96"/>
    <w:rsid w:val="007F6A0B"/>
    <w:rsid w:val="00800A11"/>
    <w:rsid w:val="00815E92"/>
    <w:rsid w:val="008604B9"/>
    <w:rsid w:val="00895CEB"/>
    <w:rsid w:val="008B18C8"/>
    <w:rsid w:val="008C34EF"/>
    <w:rsid w:val="008D73BA"/>
    <w:rsid w:val="008F3F9C"/>
    <w:rsid w:val="009513C6"/>
    <w:rsid w:val="009560EF"/>
    <w:rsid w:val="00973943"/>
    <w:rsid w:val="009B3B85"/>
    <w:rsid w:val="009C5349"/>
    <w:rsid w:val="009E7A70"/>
    <w:rsid w:val="009F3BB6"/>
    <w:rsid w:val="00A37437"/>
    <w:rsid w:val="00B03A35"/>
    <w:rsid w:val="00B153C1"/>
    <w:rsid w:val="00B405D5"/>
    <w:rsid w:val="00B41344"/>
    <w:rsid w:val="00B86FCD"/>
    <w:rsid w:val="00B8717C"/>
    <w:rsid w:val="00B92BBF"/>
    <w:rsid w:val="00B92F85"/>
    <w:rsid w:val="00BA0005"/>
    <w:rsid w:val="00C008E3"/>
    <w:rsid w:val="00C91B0A"/>
    <w:rsid w:val="00C97239"/>
    <w:rsid w:val="00CB6C55"/>
    <w:rsid w:val="00CF5180"/>
    <w:rsid w:val="00D2184F"/>
    <w:rsid w:val="00D827AA"/>
    <w:rsid w:val="00DD36D1"/>
    <w:rsid w:val="00DD5920"/>
    <w:rsid w:val="00E5170B"/>
    <w:rsid w:val="00E832F7"/>
    <w:rsid w:val="00E9243E"/>
    <w:rsid w:val="00EA4317"/>
    <w:rsid w:val="00EA73A6"/>
    <w:rsid w:val="00EA76A1"/>
    <w:rsid w:val="00ED689C"/>
    <w:rsid w:val="00F121A9"/>
    <w:rsid w:val="00F5730D"/>
    <w:rsid w:val="00F603D7"/>
    <w:rsid w:val="00F85D4C"/>
    <w:rsid w:val="00FB0226"/>
    <w:rsid w:val="00FB30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D55CBC-B2B1-46BC-BD5F-AA378BBD1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307E"/>
    <w:rPr>
      <w:color w:val="0563C1" w:themeColor="hyperlink"/>
      <w:u w:val="single"/>
    </w:rPr>
  </w:style>
  <w:style w:type="paragraph" w:styleId="ListParagraph">
    <w:name w:val="List Paragraph"/>
    <w:basedOn w:val="Normal"/>
    <w:uiPriority w:val="34"/>
    <w:qFormat/>
    <w:rsid w:val="009560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3687">
      <w:bodyDiv w:val="1"/>
      <w:marLeft w:val="0"/>
      <w:marRight w:val="0"/>
      <w:marTop w:val="0"/>
      <w:marBottom w:val="0"/>
      <w:divBdr>
        <w:top w:val="none" w:sz="0" w:space="0" w:color="auto"/>
        <w:left w:val="none" w:sz="0" w:space="0" w:color="auto"/>
        <w:bottom w:val="none" w:sz="0" w:space="0" w:color="auto"/>
        <w:right w:val="none" w:sz="0" w:space="0" w:color="auto"/>
      </w:divBdr>
    </w:div>
    <w:div w:id="394472601">
      <w:bodyDiv w:val="1"/>
      <w:marLeft w:val="0"/>
      <w:marRight w:val="0"/>
      <w:marTop w:val="0"/>
      <w:marBottom w:val="0"/>
      <w:divBdr>
        <w:top w:val="none" w:sz="0" w:space="0" w:color="auto"/>
        <w:left w:val="none" w:sz="0" w:space="0" w:color="auto"/>
        <w:bottom w:val="none" w:sz="0" w:space="0" w:color="auto"/>
        <w:right w:val="none" w:sz="0" w:space="0" w:color="auto"/>
      </w:divBdr>
    </w:div>
    <w:div w:id="763652521">
      <w:bodyDiv w:val="1"/>
      <w:marLeft w:val="0"/>
      <w:marRight w:val="0"/>
      <w:marTop w:val="0"/>
      <w:marBottom w:val="0"/>
      <w:divBdr>
        <w:top w:val="none" w:sz="0" w:space="0" w:color="auto"/>
        <w:left w:val="none" w:sz="0" w:space="0" w:color="auto"/>
        <w:bottom w:val="none" w:sz="0" w:space="0" w:color="auto"/>
        <w:right w:val="none" w:sz="0" w:space="0" w:color="auto"/>
      </w:divBdr>
    </w:div>
    <w:div w:id="831608329">
      <w:bodyDiv w:val="1"/>
      <w:marLeft w:val="0"/>
      <w:marRight w:val="0"/>
      <w:marTop w:val="0"/>
      <w:marBottom w:val="0"/>
      <w:divBdr>
        <w:top w:val="none" w:sz="0" w:space="0" w:color="auto"/>
        <w:left w:val="none" w:sz="0" w:space="0" w:color="auto"/>
        <w:bottom w:val="none" w:sz="0" w:space="0" w:color="auto"/>
        <w:right w:val="none" w:sz="0" w:space="0" w:color="auto"/>
      </w:divBdr>
    </w:div>
    <w:div w:id="1058556106">
      <w:bodyDiv w:val="1"/>
      <w:marLeft w:val="0"/>
      <w:marRight w:val="0"/>
      <w:marTop w:val="0"/>
      <w:marBottom w:val="0"/>
      <w:divBdr>
        <w:top w:val="none" w:sz="0" w:space="0" w:color="auto"/>
        <w:left w:val="none" w:sz="0" w:space="0" w:color="auto"/>
        <w:bottom w:val="none" w:sz="0" w:space="0" w:color="auto"/>
        <w:right w:val="none" w:sz="0" w:space="0" w:color="auto"/>
      </w:divBdr>
    </w:div>
    <w:div w:id="1510562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census.gov/"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data.okfn.org/data/core/house-prices-us"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hyperlink" Target="https://public.tableau.com/s/resources"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531</TotalTime>
  <Pages>14</Pages>
  <Words>1143</Words>
  <Characters>6517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Kartikeya Khanna</dc:creator>
  <cp:keywords/>
  <dc:description/>
  <cp:lastModifiedBy>Kartikeya Khanna</cp:lastModifiedBy>
  <cp:revision>84</cp:revision>
  <dcterms:created xsi:type="dcterms:W3CDTF">2016-04-18T19:31:00Z</dcterms:created>
  <dcterms:modified xsi:type="dcterms:W3CDTF">2016-04-19T05:07:00Z</dcterms:modified>
</cp:coreProperties>
</file>