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PRAMANA Solution and Testing Guide</w:t>
      </w:r>
    </w:p>
    <w:p>
      <w:pPr>
        <w:pStyle w:val="Subtitle"/>
      </w:pPr>
      <w:r>
        <w:t>Architecture design reasoning operations and complete test procedures</w:t>
      </w:r>
    </w:p>
    <w:p>
      <w:pPr>
        <w:spacing w:after="280"/>
      </w:pPr>
      <w:r>
        <w:t>4 October 2026</w:t>
      </w:r>
    </w:p>
    <w:p>
      <w:r>
        <w:t>PRAMANA is a local Ayurveda intellectual-property and regulatory research assistant. It retrieves authoritative legal material, asks a local model to draft claims against that material, and verifies those claims before displaying a synthesized answer. This guide explains the implementation, the reason for each major design choice, and the procedures for checking the application, its evidence and its failure behavior.</w:t>
      </w:r>
    </w:p>
    <w:p>
      <w:r>
        <w:t>The application has working local inference, real PostgreSQL history, source citations, receipts, case-file exports and a production PDF viewer. A supported query has produced verified synthesis end to end. The full implementation plan remains incomplete because the staged Qwen corpus has unresolved extraction findings and has not been approved or promoted. A passing application test does not establish complete source coverage or legally correct advice.</w:t>
      </w:r>
    </w:p>
    <w:p>
      <w:r>
        <w:t xml:space="preserve">Use this guide as a technical handover and test manual. The canonical product requirements remain in </w:t>
      </w:r>
      <w:r>
        <w:rPr>
          <w:rFonts w:ascii="Courier New" w:hAnsi="Courier New"/>
          <w:sz w:val="18"/>
        </w:rPr>
        <w:t>PRAMANA_IMPLEMENTATION_PLAN.md</w:t>
      </w:r>
      <w:r>
        <w:t xml:space="preserve">; the current measured results and evidence files are listed in </w:t>
      </w:r>
      <w:r>
        <w:rPr>
          <w:rFonts w:ascii="Courier New" w:hAnsi="Courier New"/>
          <w:sz w:val="18"/>
        </w:rPr>
        <w:t>docs/VERIFICATION_REPORT.md</w:t>
      </w:r>
      <w:r>
        <w:t>. The table below describes the original verification run on 4 October 2026; the Sarvam restoration checks are recorded separately in docs/VERIFICATION_REPORT.md. Repeat the checks after changing code, models, source documents or machine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437"/>
      </w:tblGrid>
      <w:tr>
        <w:trPr>
          <w:tblHeader/>
          <w:cantSplit/>
        </w:trPr>
        <w:tc>
          <w:tcPr>
            <w:tcW w:type="dxa" w:w="3312"/>
            <w:vAlign w:val="center"/>
            <w:tcMar>
              <w:top w:w="90" w:type="dxa"/>
              <w:bottom w:w="90" w:type="dxa"/>
              <w:left w:w="100" w:type="dxa"/>
              <w:right w:w="100" w:type="dxa"/>
            </w:tcMar>
            <w:shd w:fill="DBEAF2"/>
          </w:tcPr>
          <w:p>
            <w:pPr>
              <w:spacing w:after="0" w:line="252" w:lineRule="auto"/>
            </w:pPr>
            <w:r>
              <w:rPr>
                <w:b/>
                <w:sz w:val="19"/>
              </w:rPr>
              <w:t>Verification area</w:t>
            </w:r>
          </w:p>
        </w:tc>
        <w:tc>
          <w:tcPr>
            <w:tcW w:type="dxa" w:w="6437"/>
            <w:vAlign w:val="center"/>
            <w:tcMar>
              <w:top w:w="90" w:type="dxa"/>
              <w:bottom w:w="90" w:type="dxa"/>
              <w:left w:w="100" w:type="dxa"/>
              <w:right w:w="100" w:type="dxa"/>
            </w:tcMar>
            <w:shd w:fill="DBEAF2"/>
          </w:tcPr>
          <w:p>
            <w:pPr>
              <w:spacing w:after="0" w:line="252" w:lineRule="auto"/>
            </w:pPr>
            <w:r>
              <w:rPr>
                <w:b/>
                <w:sz w:val="19"/>
              </w:rPr>
              <w:t>Recorded result</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Backend regression suite</w:t>
            </w:r>
          </w:p>
        </w:tc>
        <w:tc>
          <w:tcPr>
            <w:tcW w:type="dxa" w:w="6437"/>
            <w:vAlign w:val="center"/>
            <w:tcMar>
              <w:top w:w="90" w:type="dxa"/>
              <w:bottom w:w="90" w:type="dxa"/>
              <w:left w:w="100" w:type="dxa"/>
              <w:right w:w="100" w:type="dxa"/>
            </w:tcMar>
            <w:shd w:fill="FFFFFF"/>
          </w:tcPr>
          <w:p>
            <w:pPr>
              <w:spacing w:after="0" w:line="252" w:lineRule="auto"/>
            </w:pPr>
            <w:r>
              <w:rPr>
                <w:b w:val="0"/>
                <w:sz w:val="19"/>
              </w:rPr>
              <w:t>242 passed</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Frontend unit suite</w:t>
            </w:r>
          </w:p>
        </w:tc>
        <w:tc>
          <w:tcPr>
            <w:tcW w:type="dxa" w:w="6437"/>
            <w:vAlign w:val="center"/>
            <w:tcMar>
              <w:top w:w="90" w:type="dxa"/>
              <w:bottom w:w="90" w:type="dxa"/>
              <w:left w:w="100" w:type="dxa"/>
              <w:right w:w="100" w:type="dxa"/>
            </w:tcMar>
            <w:shd w:fill="F5F8FA"/>
          </w:tcPr>
          <w:p>
            <w:pPr>
              <w:spacing w:after="0" w:line="252" w:lineRule="auto"/>
            </w:pPr>
            <w:r>
              <w:rPr>
                <w:b w:val="0"/>
                <w:sz w:val="19"/>
              </w:rPr>
              <w:t>17 passed</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UI tests in explicit fixture mode</w:t>
            </w:r>
          </w:p>
        </w:tc>
        <w:tc>
          <w:tcPr>
            <w:tcW w:type="dxa" w:w="6437"/>
            <w:vAlign w:val="center"/>
            <w:tcMar>
              <w:top w:w="90" w:type="dxa"/>
              <w:bottom w:w="90" w:type="dxa"/>
              <w:left w:w="100" w:type="dxa"/>
              <w:right w:w="100" w:type="dxa"/>
            </w:tcMar>
            <w:shd w:fill="FFFFFF"/>
          </w:tcPr>
          <w:p>
            <w:pPr>
              <w:spacing w:after="0" w:line="252" w:lineRule="auto"/>
            </w:pPr>
            <w:r>
              <w:rPr>
                <w:b w:val="0"/>
                <w:sz w:val="19"/>
              </w:rPr>
              <w:t>16 passed and 5 live-only tests skipped</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Production browser checks</w:t>
            </w:r>
          </w:p>
        </w:tc>
        <w:tc>
          <w:tcPr>
            <w:tcW w:type="dxa" w:w="6437"/>
            <w:vAlign w:val="center"/>
            <w:tcMar>
              <w:top w:w="90" w:type="dxa"/>
              <w:bottom w:w="90" w:type="dxa"/>
              <w:left w:w="100" w:type="dxa"/>
              <w:right w:w="100" w:type="dxa"/>
            </w:tcMar>
            <w:shd w:fill="F5F8FA"/>
          </w:tcPr>
          <w:p>
            <w:pPr>
              <w:spacing w:after="0" w:line="252" w:lineRule="auto"/>
            </w:pPr>
            <w:r>
              <w:rPr>
                <w:b w:val="0"/>
                <w:sz w:val="19"/>
              </w:rPr>
              <w:t>5 passed against real local services</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Routing recognition</w:t>
            </w:r>
          </w:p>
        </w:tc>
        <w:tc>
          <w:tcPr>
            <w:tcW w:type="dxa" w:w="6437"/>
            <w:vAlign w:val="center"/>
            <w:tcMar>
              <w:top w:w="90" w:type="dxa"/>
              <w:bottom w:w="90" w:type="dxa"/>
              <w:left w:w="100" w:type="dxa"/>
              <w:right w:w="100" w:type="dxa"/>
            </w:tcMar>
            <w:shd w:fill="FFFFFF"/>
          </w:tcPr>
          <w:p>
            <w:pPr>
              <w:spacing w:after="0" w:line="252" w:lineRule="auto"/>
            </w:pPr>
            <w:r>
              <w:rPr>
                <w:b w:val="0"/>
                <w:sz w:val="19"/>
              </w:rPr>
              <w:t>55 cases and 100 percent in the tested groups</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Live retrieval</w:t>
            </w:r>
          </w:p>
        </w:tc>
        <w:tc>
          <w:tcPr>
            <w:tcW w:type="dxa" w:w="6437"/>
            <w:vAlign w:val="center"/>
            <w:tcMar>
              <w:top w:w="90" w:type="dxa"/>
              <w:bottom w:w="90" w:type="dxa"/>
              <w:left w:w="100" w:type="dxa"/>
              <w:right w:w="100" w:type="dxa"/>
            </w:tcMar>
            <w:shd w:fill="F5F8FA"/>
          </w:tcPr>
          <w:p>
            <w:pPr>
              <w:spacing w:after="0" w:line="252" w:lineRule="auto"/>
            </w:pPr>
            <w:r>
              <w:rPr>
                <w:b w:val="0"/>
                <w:sz w:val="19"/>
              </w:rPr>
              <w:t>5 of 8 evidence cases found in a 10-case golden set</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Staged Qwen retrieval</w:t>
            </w:r>
          </w:p>
        </w:tc>
        <w:tc>
          <w:tcPr>
            <w:tcW w:type="dxa" w:w="6437"/>
            <w:vAlign w:val="center"/>
            <w:tcMar>
              <w:top w:w="90" w:type="dxa"/>
              <w:bottom w:w="90" w:type="dxa"/>
              <w:left w:w="100" w:type="dxa"/>
              <w:right w:w="100" w:type="dxa"/>
            </w:tcMar>
            <w:shd w:fill="FFFFFF"/>
          </w:tcPr>
          <w:p>
            <w:pPr>
              <w:spacing w:after="0" w:line="252" w:lineRule="auto"/>
            </w:pPr>
            <w:r>
              <w:rPr>
                <w:b w:val="0"/>
                <w:sz w:val="19"/>
              </w:rPr>
              <w:t>8 of 8 evidence cases found in the same golden set</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Sampled app and model memory</w:t>
            </w:r>
          </w:p>
        </w:tc>
        <w:tc>
          <w:tcPr>
            <w:tcW w:type="dxa" w:w="6437"/>
            <w:vAlign w:val="center"/>
            <w:tcMar>
              <w:top w:w="90" w:type="dxa"/>
              <w:bottom w:w="90" w:type="dxa"/>
              <w:left w:w="100" w:type="dxa"/>
              <w:right w:w="100" w:type="dxa"/>
            </w:tcMar>
            <w:shd w:fill="F5F8FA"/>
          </w:tcPr>
          <w:p>
            <w:pPr>
              <w:spacing w:after="0" w:line="252" w:lineRule="auto"/>
            </w:pPr>
            <w:r>
              <w:rPr>
                <w:b w:val="0"/>
                <w:sz w:val="19"/>
              </w:rPr>
              <w:t>8.52 GB peak against a 12.00 GB budget</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Staged corpus quality</w:t>
            </w:r>
          </w:p>
        </w:tc>
        <w:tc>
          <w:tcPr>
            <w:tcW w:type="dxa" w:w="6437"/>
            <w:vAlign w:val="center"/>
            <w:tcMar>
              <w:top w:w="90" w:type="dxa"/>
              <w:bottom w:w="90" w:type="dxa"/>
              <w:left w:w="100" w:type="dxa"/>
              <w:right w:w="100" w:type="dxa"/>
            </w:tcMar>
            <w:shd w:fill="FFFFFF"/>
          </w:tcPr>
          <w:p>
            <w:pPr>
              <w:spacing w:after="0" w:line="252" w:lineRule="auto"/>
            </w:pPr>
            <w:r>
              <w:rPr>
                <w:b w:val="0"/>
                <w:sz w:val="19"/>
              </w:rPr>
              <w:t>46 findings and no approval or promotion</w:t>
            </w:r>
          </w:p>
        </w:tc>
      </w:tr>
    </w:tbl>
    <w:p>
      <w:pPr>
        <w:spacing w:after="20" w:before="0" w:line="240" w:lineRule="auto"/>
      </w:pPr>
      <w:r>
        <w:rPr>
          <w:sz w:val="2"/>
        </w:rPr>
      </w:r>
    </w:p>
    <w:p>
      <w:r>
        <w:br w:type="page"/>
      </w:r>
    </w:p>
    <w:p>
      <w:pPr>
        <w:pStyle w:val="Heading1"/>
      </w:pPr>
      <w:r>
        <w:t>Contents</w:t>
      </w:r>
    </w:p>
    <w:p>
      <w:pPr>
        <w:spacing w:after="140"/>
      </w:pPr>
      <w:hyperlink w:anchor="section_0">
        <w:r>
          <w:rPr>
            <w:color w:val="235A78"/>
            <w:u w:val="single"/>
          </w:rPr>
          <w:t>1 Solution scope and current status</w:t>
        </w:r>
      </w:hyperlink>
    </w:p>
    <w:p>
      <w:pPr>
        <w:spacing w:after="140"/>
      </w:pPr>
      <w:hyperlink w:anchor="section_1">
        <w:r>
          <w:rPr>
            <w:color w:val="235A78"/>
            <w:u w:val="single"/>
          </w:rPr>
          <w:t>2 How the system is connected</w:t>
        </w:r>
      </w:hyperlink>
    </w:p>
    <w:p>
      <w:pPr>
        <w:spacing w:after="140"/>
      </w:pPr>
      <w:hyperlink w:anchor="section_2">
        <w:r>
          <w:rPr>
            <w:color w:val="235A78"/>
            <w:u w:val="single"/>
          </w:rPr>
          <w:t>3 How answers and citations are produced</w:t>
        </w:r>
      </w:hyperlink>
    </w:p>
    <w:p>
      <w:pPr>
        <w:spacing w:after="140"/>
      </w:pPr>
      <w:hyperlink w:anchor="section_3">
        <w:r>
          <w:rPr>
            <w:color w:val="235A78"/>
            <w:u w:val="single"/>
          </w:rPr>
          <w:t>4 Regulatory tools and classification</w:t>
        </w:r>
      </w:hyperlink>
    </w:p>
    <w:p>
      <w:pPr>
        <w:spacing w:after="140"/>
      </w:pPr>
      <w:hyperlink w:anchor="section_4">
        <w:r>
          <w:rPr>
            <w:color w:val="235A78"/>
            <w:u w:val="single"/>
          </w:rPr>
          <w:t>5 Evidence corpus and promotion</w:t>
        </w:r>
      </w:hyperlink>
    </w:p>
    <w:p>
      <w:pPr>
        <w:spacing w:after="140"/>
      </w:pPr>
      <w:hyperlink w:anchor="section_5">
        <w:r>
          <w:rPr>
            <w:color w:val="235A78"/>
            <w:u w:val="single"/>
          </w:rPr>
          <w:t>6 History privacy and integrity</w:t>
        </w:r>
      </w:hyperlink>
    </w:p>
    <w:p>
      <w:pPr>
        <w:spacing w:after="140"/>
      </w:pPr>
      <w:hyperlink w:anchor="section_6">
        <w:r>
          <w:rPr>
            <w:color w:val="235A78"/>
            <w:u w:val="single"/>
          </w:rPr>
          <w:t>7 Frontend and document exports</w:t>
        </w:r>
      </w:hyperlink>
    </w:p>
    <w:p>
      <w:pPr>
        <w:spacing w:after="140"/>
      </w:pPr>
      <w:hyperlink w:anchor="section_7">
        <w:r>
          <w:rPr>
            <w:color w:val="235A78"/>
            <w:u w:val="single"/>
          </w:rPr>
          <w:t>8 Installation and operations</w:t>
        </w:r>
      </w:hyperlink>
    </w:p>
    <w:p>
      <w:pPr>
        <w:spacing w:after="140"/>
      </w:pPr>
      <w:hyperlink w:anchor="section_8">
        <w:r>
          <w:rPr>
            <w:color w:val="235A78"/>
            <w:u w:val="single"/>
          </w:rPr>
          <w:t>9 Automated testing</w:t>
        </w:r>
      </w:hyperlink>
    </w:p>
    <w:p>
      <w:pPr>
        <w:spacing w:after="140"/>
      </w:pPr>
      <w:hyperlink w:anchor="section_9">
        <w:r>
          <w:rPr>
            <w:color w:val="235A78"/>
            <w:u w:val="single"/>
          </w:rPr>
          <w:t>10 Manual end to end tests</w:t>
        </w:r>
      </w:hyperlink>
    </w:p>
    <w:p>
      <w:pPr>
        <w:spacing w:after="140"/>
      </w:pPr>
      <w:hyperlink w:anchor="section_10">
        <w:r>
          <w:rPr>
            <w:color w:val="235A78"/>
            <w:u w:val="single"/>
          </w:rPr>
          <w:t>11 Failure testing and troubleshooting</w:t>
        </w:r>
      </w:hyperlink>
    </w:p>
    <w:p>
      <w:pPr>
        <w:spacing w:after="140"/>
      </w:pPr>
      <w:hyperlink w:anchor="section_11">
        <w:r>
          <w:rPr>
            <w:color w:val="235A78"/>
            <w:u w:val="single"/>
          </w:rPr>
          <w:t>12 Acceptance and remaining work</w:t>
        </w:r>
      </w:hyperlink>
    </w:p>
    <w:p>
      <w:pPr>
        <w:spacing w:after="140"/>
      </w:pPr>
      <w:hyperlink w:anchor="section_12">
        <w:r>
          <w:rPr>
            <w:color w:val="235A78"/>
            <w:u w:val="single"/>
          </w:rPr>
          <w:t>Appendix A API reference</w:t>
        </w:r>
      </w:hyperlink>
    </w:p>
    <w:p>
      <w:pPr>
        <w:spacing w:after="140"/>
      </w:pPr>
      <w:hyperlink w:anchor="section_13">
        <w:r>
          <w:rPr>
            <w:color w:val="235A78"/>
            <w:u w:val="single"/>
          </w:rPr>
          <w:t>Appendix B Code and evidence map</w:t>
        </w:r>
      </w:hyperlink>
    </w:p>
    <w:p>
      <w:pPr>
        <w:spacing w:after="140"/>
      </w:pPr>
      <w:hyperlink w:anchor="section_14">
        <w:r>
          <w:rPr>
            <w:color w:val="235A78"/>
            <w:u w:val="single"/>
          </w:rPr>
          <w:t>Appendix C Terms and external references</w:t>
        </w:r>
      </w:hyperlink>
    </w:p>
    <w:p>
      <w:r>
        <w:t>Read sections 1 to 7 to understand the solution and its reasoning. Use sections 8 to 11 to operate and test it. Section 12 states acceptance and outstanding work. The appendices map APIs, code and evidence.</w:t>
      </w:r>
    </w:p>
    <w:p>
      <w:r>
        <w:br w:type="page"/>
      </w:r>
    </w:p>
    <w:p>
      <w:bookmarkStart w:id="0" w:name="section_0"/>
      <w:pPr>
        <w:pStyle w:val="Heading1"/>
      </w:pPr>
      <w:r>
        <w:t>1 Solution scope and current status</w:t>
      </w:r>
      <w:bookmarkEnd w:id="0"/>
    </w:p>
    <w:p>
      <w:pPr>
        <w:pStyle w:val="Heading2"/>
      </w:pPr>
      <w:r>
        <w:t>What the application helps a user do</w:t>
      </w:r>
    </w:p>
    <w:p>
      <w:r>
        <w:t>The Ask Sahayak page supports research into Ayurveda-related intellectual property, access and benefit sharing, and product regulation. Users choose India, International or both, an as-of date, an answer language and a persona. The response can contain individually checked claims, source excerpts, gaps, confidence information and a receipt. Users can inspect the exact source PDF and keep results in a shared demo case file.</w:t>
      </w:r>
    </w:p>
    <w:p>
      <w:r>
        <w:t>The other tools support provisional product classification, patent rule indicators, an ABS research checklist and traditional-knowledge matching/query preparation. These are separate workflows with their own contracts and receipts. They are not certified patentability opinions, licensing decisions or automatic legal determinations.</w:t>
      </w:r>
    </w:p>
    <w:p>
      <w:pPr>
        <w:pStyle w:val="Heading2"/>
      </w:pPr>
      <w:r>
        <w:t>What is complete and what is pending</w:t>
      </w:r>
    </w:p>
    <w:p>
      <w:r>
        <w:t xml:space="preserve">The local generation and embedding clients, history APIs, review controls, refusal routing and production viewer are implemented and tested. The live corpus is </w:t>
      </w:r>
      <w:r>
        <w:rPr>
          <w:rFonts w:ascii="Courier New" w:hAnsi="Courier New"/>
          <w:sz w:val="18"/>
        </w:rPr>
        <w:t>2026-10-03-fed342</w:t>
      </w:r>
      <w:r>
        <w:t>. Its legacy vectors are incompatible with Qwen, so live evidence retrieval uses keyword search. The application does not load BGE-M3 or compare vectors from different model spaces.</w:t>
      </w:r>
    </w:p>
    <w:p>
      <w:r>
        <w:t xml:space="preserve">The Qwen corpus </w:t>
      </w:r>
      <w:r>
        <w:rPr>
          <w:rFonts w:ascii="Courier New" w:hAnsi="Courier New"/>
          <w:sz w:val="18"/>
        </w:rPr>
        <w:t>local-qwen-2026-10-04</w:t>
      </w:r>
      <w:r>
        <w:t xml:space="preserve"> contains 28 sources and actual local embeddings, but its review found incomplete extraction, missing highlights and structural/OCR warnings. It remains staged. Code that improves treaty parsing was checked against all 28 pinned PDFs with no invalid text offsets, but that repair has not been re-ingested. Code improvement and corpus improvement are separate operations.</w:t>
      </w:r>
    </w:p>
    <w:p>
      <w:r>
        <w:t>Speech transcription remains unavailable. Per the user's request, read-aloud now calls Sarvam Bulbul v3 through the backend. A valid SARVAM_API_KEY is required; provider-backed playback must be verified with an actual keyed request. DOCX and Markdown dossiers preserve Unicode. The current dossier PDF font rejects unsupported characters explicitly. These capabilities must be described as limited rather than demonstrated with fabricated outputs.</w:t>
      </w:r>
    </w:p>
    <w:p>
      <w:pPr>
        <w:pStyle w:val="Heading2"/>
      </w:pPr>
      <w:r>
        <w:t>How to interpret verified and confidence</w:t>
      </w:r>
    </w:p>
    <w:p>
      <w:r>
        <w:t>A verified claim passed the server's configured evidence checks. It does not certify that the corpus includes every relevant amendment, that a lawyer has reviewed the conclusion, or that the claim applies to a specific person's facts. A partial claim requires review. Confidence is a heuristic aggregation of retrieval and verification signals, not a calibrated probability of legal correctness. Its weights and thresholds still need a larger development-set study.</w:t>
      </w:r>
    </w:p>
    <w:p>
      <w:bookmarkStart w:id="1" w:name="section_1"/>
      <w:pPr>
        <w:pStyle w:val="Heading1"/>
      </w:pPr>
      <w:r>
        <w:t>2 How the system is connected</w:t>
      </w:r>
      <w:bookmarkEnd w:id="1"/>
    </w:p>
    <w:p>
      <w:pPr>
        <w:pStyle w:val="Heading2"/>
      </w:pPr>
      <w:r>
        <w:t>Runtime components</w:t>
      </w:r>
    </w:p>
    <w:p>
      <w:r>
        <w:t xml:space="preserve">The browser calls the Nginx frontend at </w:t>
      </w:r>
      <w:r>
        <w:rPr>
          <w:rFonts w:ascii="Courier New" w:hAnsi="Courier New"/>
          <w:sz w:val="18"/>
        </w:rPr>
        <w:t>http://localhost:8080</w:t>
      </w:r>
      <w:r>
        <w:t xml:space="preserve">. Nginx serves the built React assets and proxies </w:t>
      </w:r>
      <w:r>
        <w:rPr>
          <w:rFonts w:ascii="Courier New" w:hAnsi="Courier New"/>
          <w:sz w:val="18"/>
        </w:rPr>
        <w:t>/v1/</w:t>
      </w:r>
      <w:r>
        <w:t xml:space="preserve"> requests to FastAPI. FastAPI reads PostgreSQL and calls native Ollama on the Mac through </w:t>
      </w:r>
      <w:r>
        <w:rPr>
          <w:rFonts w:ascii="Courier New" w:hAnsi="Courier New"/>
          <w:sz w:val="18"/>
        </w:rPr>
        <w:t>http://host.docker.internal:11434</w:t>
      </w:r>
      <w:r>
        <w:t>. Ollama is not duplicated inside Docker.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88"/>
        <w:gridCol w:w="3413"/>
      </w:tblGrid>
      <w:tr>
        <w:trPr>
          <w:tblHeader/>
          <w:cantSplit/>
        </w:trPr>
        <w:tc>
          <w:tcPr>
            <w:tcW w:type="dxa" w:w="2448"/>
            <w:vAlign w:val="center"/>
            <w:tcMar>
              <w:top w:w="90" w:type="dxa"/>
              <w:bottom w:w="90" w:type="dxa"/>
              <w:left w:w="100" w:type="dxa"/>
              <w:right w:w="100" w:type="dxa"/>
            </w:tcMar>
            <w:shd w:fill="DBEAF2"/>
          </w:tcPr>
          <w:p>
            <w:pPr>
              <w:spacing w:after="0" w:line="252" w:lineRule="auto"/>
            </w:pPr>
            <w:r>
              <w:rPr>
                <w:b/>
                <w:sz w:val="19"/>
              </w:rPr>
              <w:t>Component</w:t>
            </w:r>
          </w:p>
        </w:tc>
        <w:tc>
          <w:tcPr>
            <w:tcW w:type="dxa" w:w="3888"/>
            <w:vAlign w:val="center"/>
            <w:tcMar>
              <w:top w:w="90" w:type="dxa"/>
              <w:bottom w:w="90" w:type="dxa"/>
              <w:left w:w="100" w:type="dxa"/>
              <w:right w:w="100" w:type="dxa"/>
            </w:tcMar>
            <w:shd w:fill="DBEAF2"/>
          </w:tcPr>
          <w:p>
            <w:pPr>
              <w:spacing w:after="0" w:line="252" w:lineRule="auto"/>
            </w:pPr>
            <w:r>
              <w:rPr>
                <w:b/>
                <w:sz w:val="19"/>
              </w:rPr>
              <w:t>Responsibility</w:t>
            </w:r>
          </w:p>
        </w:tc>
        <w:tc>
          <w:tcPr>
            <w:tcW w:type="dxa" w:w="3413"/>
            <w:vAlign w:val="center"/>
            <w:tcMar>
              <w:top w:w="90" w:type="dxa"/>
              <w:bottom w:w="90" w:type="dxa"/>
              <w:left w:w="100" w:type="dxa"/>
              <w:right w:w="100" w:type="dxa"/>
            </w:tcMar>
            <w:shd w:fill="DBEAF2"/>
          </w:tcPr>
          <w:p>
            <w:pPr>
              <w:spacing w:after="0" w:line="252" w:lineRule="auto"/>
            </w:pPr>
            <w:r>
              <w:rPr>
                <w:b/>
                <w:sz w:val="19"/>
              </w:rPr>
              <w:t>Location or limit</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React and Vite frontend</w:t>
            </w:r>
          </w:p>
        </w:tc>
        <w:tc>
          <w:tcPr>
            <w:tcW w:type="dxa" w:w="3888"/>
            <w:vAlign w:val="center"/>
            <w:tcMar>
              <w:top w:w="90" w:type="dxa"/>
              <w:bottom w:w="90" w:type="dxa"/>
              <w:left w:w="100" w:type="dxa"/>
              <w:right w:w="100" w:type="dxa"/>
            </w:tcMar>
            <w:shd w:fill="FFFFFF"/>
          </w:tcPr>
          <w:p>
            <w:pPr>
              <w:spacing w:after="0" w:line="252" w:lineRule="auto"/>
            </w:pPr>
            <w:r>
              <w:rPr>
                <w:b w:val="0"/>
                <w:sz w:val="19"/>
              </w:rPr>
              <w:t>Pages forms history SSE and PDF viewer</w:t>
            </w:r>
          </w:p>
        </w:tc>
        <w:tc>
          <w:tcPr>
            <w:tcW w:type="dxa" w:w="3413"/>
            <w:vAlign w:val="center"/>
            <w:tcMar>
              <w:top w:w="90" w:type="dxa"/>
              <w:bottom w:w="90" w:type="dxa"/>
              <w:left w:w="100" w:type="dxa"/>
              <w:right w:w="100" w:type="dxa"/>
            </w:tcMar>
            <w:shd w:fill="FFFFFF"/>
          </w:tcPr>
          <w:p>
            <w:pPr>
              <w:spacing w:after="0" w:line="252" w:lineRule="auto"/>
            </w:pPr>
            <w:r>
              <w:rPr>
                <w:b w:val="0"/>
                <w:sz w:val="19"/>
              </w:rPr>
              <w:t>Docker frontend 256 MiB</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Nginx</w:t>
            </w:r>
          </w:p>
        </w:tc>
        <w:tc>
          <w:tcPr>
            <w:tcW w:type="dxa" w:w="3888"/>
            <w:vAlign w:val="center"/>
            <w:tcMar>
              <w:top w:w="90" w:type="dxa"/>
              <w:bottom w:w="90" w:type="dxa"/>
              <w:left w:w="100" w:type="dxa"/>
              <w:right w:w="100" w:type="dxa"/>
            </w:tcMar>
            <w:shd w:fill="F5F8FA"/>
          </w:tcPr>
          <w:p>
            <w:pPr>
              <w:spacing w:after="0" w:line="252" w:lineRule="auto"/>
            </w:pPr>
            <w:r>
              <w:rPr>
                <w:b w:val="0"/>
                <w:sz w:val="19"/>
              </w:rPr>
              <w:t>Static assets same-origin API proxy and unbuffered SSE</w:t>
            </w:r>
          </w:p>
        </w:tc>
        <w:tc>
          <w:tcPr>
            <w:tcW w:type="dxa" w:w="3413"/>
            <w:vAlign w:val="center"/>
            <w:tcMar>
              <w:top w:w="90" w:type="dxa"/>
              <w:bottom w:w="90" w:type="dxa"/>
              <w:left w:w="100" w:type="dxa"/>
              <w:right w:w="100" w:type="dxa"/>
            </w:tcMar>
            <w:shd w:fill="F5F8FA"/>
          </w:tcPr>
          <w:p>
            <w:pPr>
              <w:spacing w:after="0" w:line="252" w:lineRule="auto"/>
            </w:pPr>
            <w:r>
              <w:rPr>
                <w:b w:val="0"/>
                <w:sz w:val="19"/>
              </w:rPr>
              <w:t>Browser port 8080</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FastAPI backend</w:t>
            </w:r>
          </w:p>
        </w:tc>
        <w:tc>
          <w:tcPr>
            <w:tcW w:type="dxa" w:w="3888"/>
            <w:vAlign w:val="center"/>
            <w:tcMar>
              <w:top w:w="90" w:type="dxa"/>
              <w:bottom w:w="90" w:type="dxa"/>
              <w:left w:w="100" w:type="dxa"/>
              <w:right w:w="100" w:type="dxa"/>
            </w:tcMar>
            <w:shd w:fill="FFFFFF"/>
          </w:tcPr>
          <w:p>
            <w:pPr>
              <w:spacing w:after="0" w:line="252" w:lineRule="auto"/>
            </w:pPr>
            <w:r>
              <w:rPr>
                <w:b w:val="0"/>
                <w:sz w:val="19"/>
              </w:rPr>
              <w:t>Retrieval generation verification rules history and exports</w:t>
            </w:r>
          </w:p>
        </w:tc>
        <w:tc>
          <w:tcPr>
            <w:tcW w:type="dxa" w:w="3413"/>
            <w:vAlign w:val="center"/>
            <w:tcMar>
              <w:top w:w="90" w:type="dxa"/>
              <w:bottom w:w="90" w:type="dxa"/>
              <w:left w:w="100" w:type="dxa"/>
              <w:right w:w="100" w:type="dxa"/>
            </w:tcMar>
            <w:shd w:fill="FFFFFF"/>
          </w:tcPr>
          <w:p>
            <w:pPr>
              <w:spacing w:after="0" w:line="252" w:lineRule="auto"/>
            </w:pPr>
            <w:r>
              <w:rPr>
                <w:b w:val="0"/>
                <w:sz w:val="19"/>
              </w:rPr>
              <w:t>Docker backend 3 GiB and port 8000</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PostgreSQL with pgvector</w:t>
            </w:r>
          </w:p>
        </w:tc>
        <w:tc>
          <w:tcPr>
            <w:tcW w:type="dxa" w:w="3888"/>
            <w:vAlign w:val="center"/>
            <w:tcMar>
              <w:top w:w="90" w:type="dxa"/>
              <w:bottom w:w="90" w:type="dxa"/>
              <w:left w:w="100" w:type="dxa"/>
              <w:right w:w="100" w:type="dxa"/>
            </w:tcMar>
            <w:shd w:fill="F5F8FA"/>
          </w:tcPr>
          <w:p>
            <w:pPr>
              <w:spacing w:after="0" w:line="252" w:lineRule="auto"/>
            </w:pPr>
            <w:r>
              <w:rPr>
                <w:b w:val="0"/>
                <w:sz w:val="19"/>
              </w:rPr>
              <w:t>Evidence vectors versions history and audit data</w:t>
            </w:r>
          </w:p>
        </w:tc>
        <w:tc>
          <w:tcPr>
            <w:tcW w:type="dxa" w:w="3413"/>
            <w:vAlign w:val="center"/>
            <w:tcMar>
              <w:top w:w="90" w:type="dxa"/>
              <w:bottom w:w="90" w:type="dxa"/>
              <w:left w:w="100" w:type="dxa"/>
              <w:right w:w="100" w:type="dxa"/>
            </w:tcMar>
            <w:shd w:fill="F5F8FA"/>
          </w:tcPr>
          <w:p>
            <w:pPr>
              <w:spacing w:after="0" w:line="252" w:lineRule="auto"/>
            </w:pPr>
            <w:r>
              <w:rPr>
                <w:b w:val="0"/>
                <w:sz w:val="19"/>
              </w:rPr>
              <w:t>Docker database 1 GiB and port 5432</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Native Ollama</w:t>
            </w:r>
          </w:p>
        </w:tc>
        <w:tc>
          <w:tcPr>
            <w:tcW w:type="dxa" w:w="3888"/>
            <w:vAlign w:val="center"/>
            <w:tcMar>
              <w:top w:w="90" w:type="dxa"/>
              <w:bottom w:w="90" w:type="dxa"/>
              <w:left w:w="100" w:type="dxa"/>
              <w:right w:w="100" w:type="dxa"/>
            </w:tcMar>
            <w:shd w:fill="FFFFFF"/>
          </w:tcPr>
          <w:p>
            <w:pPr>
              <w:spacing w:after="0" w:line="252" w:lineRule="auto"/>
            </w:pPr>
            <w:r>
              <w:rPr>
                <w:b w:val="0"/>
                <w:sz w:val="19"/>
              </w:rPr>
              <w:t>Qwen text generation translation and embeddings</w:t>
            </w:r>
          </w:p>
        </w:tc>
        <w:tc>
          <w:tcPr>
            <w:tcW w:type="dxa" w:w="3413"/>
            <w:vAlign w:val="center"/>
            <w:tcMar>
              <w:top w:w="90" w:type="dxa"/>
              <w:bottom w:w="90" w:type="dxa"/>
              <w:left w:w="100" w:type="dxa"/>
              <w:right w:w="100" w:type="dxa"/>
            </w:tcMar>
            <w:shd w:fill="FFFFFF"/>
          </w:tcPr>
          <w:p>
            <w:pPr>
              <w:spacing w:after="0" w:line="252" w:lineRule="auto"/>
            </w:pPr>
            <w:r>
              <w:rPr>
                <w:b w:val="0"/>
                <w:sz w:val="19"/>
              </w:rPr>
              <w:t>Mac host port 11434</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Local NLI verifier</w:t>
            </w:r>
          </w:p>
        </w:tc>
        <w:tc>
          <w:tcPr>
            <w:tcW w:type="dxa" w:w="3888"/>
            <w:vAlign w:val="center"/>
            <w:tcMar>
              <w:top w:w="90" w:type="dxa"/>
              <w:bottom w:w="90" w:type="dxa"/>
              <w:left w:w="100" w:type="dxa"/>
              <w:right w:w="100" w:type="dxa"/>
            </w:tcMar>
            <w:shd w:fill="F5F8FA"/>
          </w:tcPr>
          <w:p>
            <w:pPr>
              <w:spacing w:after="0" w:line="252" w:lineRule="auto"/>
            </w:pPr>
            <w:r>
              <w:rPr>
                <w:b w:val="0"/>
                <w:sz w:val="19"/>
              </w:rPr>
              <w:t>Tests whether cited text supports a claim</w:t>
            </w:r>
          </w:p>
        </w:tc>
        <w:tc>
          <w:tcPr>
            <w:tcW w:type="dxa" w:w="3413"/>
            <w:vAlign w:val="center"/>
            <w:tcMar>
              <w:top w:w="90" w:type="dxa"/>
              <w:bottom w:w="90" w:type="dxa"/>
              <w:left w:w="100" w:type="dxa"/>
              <w:right w:w="100" w:type="dxa"/>
            </w:tcMar>
            <w:shd w:fill="F5F8FA"/>
          </w:tcPr>
          <w:p>
            <w:pPr>
              <w:spacing w:after="0" w:line="252" w:lineRule="auto"/>
            </w:pPr>
            <w:r>
              <w:rPr>
                <w:b w:val="0"/>
                <w:sz w:val="19"/>
              </w:rPr>
              <w:t>CPU in backend with persistent model cache</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Source monitor</w:t>
            </w:r>
          </w:p>
        </w:tc>
        <w:tc>
          <w:tcPr>
            <w:tcW w:type="dxa" w:w="3888"/>
            <w:vAlign w:val="center"/>
            <w:tcMar>
              <w:top w:w="90" w:type="dxa"/>
              <w:bottom w:w="90" w:type="dxa"/>
              <w:left w:w="100" w:type="dxa"/>
              <w:right w:w="100" w:type="dxa"/>
            </w:tcMar>
            <w:shd w:fill="FFFFFF"/>
          </w:tcPr>
          <w:p>
            <w:pPr>
              <w:spacing w:after="0" w:line="252" w:lineRule="auto"/>
            </w:pPr>
            <w:r>
              <w:rPr>
                <w:b w:val="0"/>
                <w:sz w:val="19"/>
              </w:rPr>
              <w:t>Weekly authoritative-source byte checks</w:t>
            </w:r>
          </w:p>
        </w:tc>
        <w:tc>
          <w:tcPr>
            <w:tcW w:type="dxa" w:w="3413"/>
            <w:vAlign w:val="center"/>
            <w:tcMar>
              <w:top w:w="90" w:type="dxa"/>
              <w:bottom w:w="90" w:type="dxa"/>
              <w:left w:w="100" w:type="dxa"/>
              <w:right w:w="100" w:type="dxa"/>
            </w:tcMar>
            <w:shd w:fill="FFFFFF"/>
          </w:tcPr>
          <w:p>
            <w:pPr>
              <w:spacing w:after="0" w:line="252" w:lineRule="auto"/>
            </w:pPr>
            <w:r>
              <w:rPr>
                <w:b w:val="0"/>
                <w:sz w:val="19"/>
              </w:rPr>
              <w:t>Docker source monitor 256 MiB</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Sarvam Bulbul v3</w:t>
            </w:r>
          </w:p>
        </w:tc>
        <w:tc>
          <w:tcPr>
            <w:tcW w:type="dxa" w:w="3888"/>
            <w:vAlign w:val="center"/>
            <w:tcMar>
              <w:top w:w="90" w:type="dxa"/>
              <w:bottom w:w="90" w:type="dxa"/>
              <w:left w:w="100" w:type="dxa"/>
              <w:right w:w="100" w:type="dxa"/>
            </w:tcMar>
            <w:shd w:fill="F5F8FA"/>
          </w:tcPr>
          <w:p>
            <w:pPr>
              <w:spacing w:after="0" w:line="252" w:lineRule="auto"/>
            </w:pPr>
            <w:r>
              <w:rPr>
                <w:b w:val="0"/>
                <w:sz w:val="19"/>
              </w:rPr>
              <w:t>Explicit answer read-aloud only</w:t>
            </w:r>
          </w:p>
        </w:tc>
        <w:tc>
          <w:tcPr>
            <w:tcW w:type="dxa" w:w="3413"/>
            <w:vAlign w:val="center"/>
            <w:tcMar>
              <w:top w:w="90" w:type="dxa"/>
              <w:bottom w:w="90" w:type="dxa"/>
              <w:left w:w="100" w:type="dxa"/>
              <w:right w:w="100" w:type="dxa"/>
            </w:tcMar>
            <w:shd w:fill="F5F8FA"/>
          </w:tcPr>
          <w:p>
            <w:pPr>
              <w:spacing w:after="0" w:line="252" w:lineRule="auto"/>
            </w:pPr>
            <w:r>
              <w:rPr>
                <w:b w:val="0"/>
                <w:sz w:val="19"/>
              </w:rPr>
              <w:t>Remote TTS via backend with server-side key</w:t>
            </w:r>
          </w:p>
        </w:tc>
      </w:tr>
    </w:tbl>
    <w:p>
      <w:pPr>
        <w:spacing w:after="20" w:before="0" w:line="240" w:lineRule="auto"/>
      </w:pPr>
      <w:r>
        <w:rPr>
          <w:sz w:val="2"/>
        </w:rPr>
      </w:r>
    </w:p>
    <w:p>
      <w:r>
        <w:t>Docker services are bound to the host loopback interface. The local configuration is a demo deployment, with a shared access key rather than individual accounts. Exposing it publicly would require a separate authentication, authorization and deployment review.</w:t>
      </w:r>
    </w:p>
    <w:p>
      <w:pPr>
        <w:pStyle w:val="Heading2"/>
      </w:pPr>
      <w:r>
        <w:t>Why these technologies were chosen</w:t>
      </w:r>
    </w:p>
    <w:p>
      <w:r>
        <w:t>FastAPI and Pydantic provide typed request/response contracts and validate malformed dates, UUIDs and structured model output. The query orchestrator is an async generator with explicit stages, rather than a dependency on a graph framework. This makes its ordered execution and SSE events easier to follow and test. Expensive synchronous work runs in a thread pool.</w:t>
      </w:r>
    </w:p>
    <w:p>
      <w:r>
        <w:t>PostgreSQL holds the durable records and supports full-text search, trigram search and pgvector retrieval in one service. Keeping source versions and saved results together supports reproducible citations and reload behavior. The frontend uses generated OpenAPI TypeScript types alongside application types, React Query for requests, Zustand for UI state and PDF.js for actual PDF rendering.</w:t>
      </w:r>
    </w:p>
    <w:p>
      <w:r>
        <w:t xml:space="preserve">Native Ollama allows the models to run on the Mac without cloud inference credentials. The chosen </w:t>
      </w:r>
      <w:r>
        <w:rPr>
          <w:rFonts w:ascii="Courier New" w:hAnsi="Courier New"/>
          <w:sz w:val="18"/>
        </w:rPr>
        <w:t>qwen3:4b</w:t>
      </w:r>
      <w:r>
        <w:t xml:space="preserve"> and </w:t>
      </w:r>
      <w:r>
        <w:rPr>
          <w:rFonts w:ascii="Courier New" w:hAnsi="Courier New"/>
          <w:sz w:val="18"/>
        </w:rPr>
        <w:t>qwen3-embedding:0.6b</w:t>
      </w:r>
      <w:r>
        <w:t xml:space="preserve"> models keep the intended stack small. The application sets an 8,192-token generation context, temperature 0, thinking off and an output limit of 1,536 tokens. Embedding requests use a 2,048-token context and produce normalized 1,024-dimensional vectors. See the official </w:t>
      </w:r>
      <w:hyperlink r:id="rId12">
        <w:r>
          <w:rPr>
            <w:color w:val="235A78"/>
            <w:u w:val="single"/>
          </w:rPr>
          <w:t>Qwen answer model</w:t>
        </w:r>
      </w:hyperlink>
      <w:r>
        <w:t xml:space="preserve"> and </w:t>
      </w:r>
      <w:hyperlink r:id="rId13">
        <w:r>
          <w:rPr>
            <w:color w:val="235A78"/>
            <w:u w:val="single"/>
          </w:rPr>
          <w:t>Qwen embedding model</w:t>
        </w:r>
      </w:hyperlink>
      <w:r>
        <w:t xml:space="preserve"> listings.</w:t>
      </w:r>
    </w:p>
    <w:p>
      <w:pPr>
        <w:pStyle w:val="Heading2"/>
      </w:pPr>
      <w:r>
        <w:t>Why Sarvam speech is separate</w:t>
      </w:r>
    </w:p>
    <w:p>
      <w:r>
        <w:t xml:space="preserve">Answer generation, translation and embeddings stay local. Sarvam is a user-requested TTS exception: pressing Listen sends only the displayed answer text to the backend speech endpoint, which calls the </w:t>
      </w:r>
      <w:hyperlink r:id="rId14">
        <w:r>
          <w:rPr>
            <w:color w:val="235A78"/>
            <w:u w:val="single"/>
          </w:rPr>
          <w:t>official Sarvam REST API</w:t>
        </w:r>
      </w:hyperlink>
      <w:r>
        <w:t>. The API key stays in the server environment. Bulbul v3 returns base64 audio; the server validates and returns PCM WAV, with provider and language headers.</w:t>
      </w:r>
    </w:p>
    <w:p>
      <w:r>
        <w:t>The frontend divides long answers into at most 2,500 Unicode characters, preferably at sentence or word boundaries, and plays the chunks sequentially. Stop aborts pending browser requests and releases audio/object URLs; leaving the page also stops playback. The UI identifies Sarvam and reports missing keys, provider failures and playback errors without substituting an OS voice. Cancelling a browser request cannot guarantee that a request already received by Sarvam avoids provider processing or charges.</w:t>
      </w:r>
    </w:p>
    <w:p>
      <w:pPr>
        <w:pStyle w:val="Heading2"/>
      </w:pPr>
      <w:r>
        <w:t>Why memory and concurrency are constrained</w:t>
      </w:r>
    </w:p>
    <w:p>
      <w:r>
        <w:t>The target machine has 16 GB of memory. The total application and model acceptance budget is 12,000,000,000 bytes, leaving room for macOS and the browser. Container limits sum to 4.5 GiB; those limits do not include all native model and Docker overhead. A query semaphore and inference lock serialize work within the application, and reranking is disabled.</w:t>
      </w:r>
    </w:p>
    <w:p>
      <w:r>
        <w:t>The memory run sampled 23 times over about 75 seconds with both models loaded. It combined container working memory, Ollama-reported allocations and native Ollama/Docker RSS. Shared memory can be counted twice, while brief peaks and some VM pages can be missed. The observed 8.52 GB peak is evidence for that workload, not a universal upper bound.</w:t>
      </w:r>
    </w:p>
    <w:p>
      <w:bookmarkStart w:id="2" w:name="section_2"/>
      <w:pPr>
        <w:pStyle w:val="Heading1"/>
      </w:pPr>
      <w:r>
        <w:t>3 How answers and citations are produced</w:t>
      </w:r>
      <w:bookmarkEnd w:id="2"/>
    </w:p>
    <w:p>
      <w:pPr>
        <w:pStyle w:val="Heading2"/>
      </w:pPr>
      <w:r>
        <w:t>The query pipeline</w:t>
      </w:r>
    </w:p>
    <w:p>
      <w:r>
        <w:t>1. Intake validates the request, scrubs structured personal identifiers, detects or uses the requested language, pins the live corpus and applies the as-of date. Saved turns can help resolve follow-ups, but remain untrusted context.</w:t>
      </w:r>
    </w:p>
    <w:p>
      <w:r>
        <w:t>2. Frame establishes jurisdiction and the question context. The cache stage currently reports skipped; a response-cache hit is not wired into the live pipeline.</w:t>
      </w:r>
    </w:p>
    <w:p>
      <w:r>
        <w:t>3. Route recognizes relevant research, tool-directed questions, requests for personal legal advice and unrelated subjects. Deterministic rules are supplemented by local embedding exemplars; routing does not ask a generative model to decide scope.</w:t>
      </w:r>
    </w:p>
    <w:p>
      <w:r>
        <w:t>4. Retrieve applies the corpus version, jurisdiction, document-type and effective-date filters before ranking. An explicitly named missing instrument produces no evidence instead of receiving material from an unrelated law.</w:t>
      </w:r>
    </w:p>
    <w:p>
      <w:r>
        <w:t>5. Resolve builds a numbered evidence pack from stored chunk rows. It expands legal context through available parents, provisos and links. Whole evidence blocks are kept within a bounded prompt budget rather than silently truncating a provision mid-condition.</w:t>
      </w:r>
    </w:p>
    <w:p>
      <w:r>
        <w:t>6. Generate calls the selected local Qwen model with the claim JSON Schema. Statements cite numbered evidence items. One malformed-schema retry uses the same model; there is no cloud or alternate-model fallback.</w:t>
      </w:r>
    </w:p>
    <w:p>
      <w:r>
        <w:t>7. Verify resolves model references to server evidence and checks every candidate claim. A single verification-feedback repair may ask the same model to try again against the same evidence. It never substitutes a canned answer or lowers the verification threshold.</w:t>
      </w:r>
    </w:p>
    <w:p>
      <w:r>
        <w:t>8. Render creates an answer or refusal card. Audit records proof metadata and stores an expiring result; the response receives a receipt. SSE sends stage updates and a final result or error followed by done.</w:t>
      </w:r>
    </w:p>
    <w:p>
      <w:r>
        <w:t xml:space="preserve">Ollama accepts a JSON Schema in the format field; PRAMANA also validates the returned JSON with Pydantic. Schema validity only proves that the response has the expected structure. Evidence checks are still required. The </w:t>
      </w:r>
      <w:hyperlink r:id="rId15">
        <w:r>
          <w:rPr>
            <w:color w:val="235A78"/>
            <w:u w:val="single"/>
          </w:rPr>
          <w:t>official structured-output documentation</w:t>
        </w:r>
      </w:hyperlink>
      <w:r>
        <w:t xml:space="preserve"> describes this interface.</w:t>
      </w:r>
    </w:p>
    <w:p>
      <w:pPr>
        <w:pStyle w:val="Heading2"/>
      </w:pPr>
      <w:r>
        <w:t>Retrieval and evidence selection</w:t>
      </w:r>
    </w:p>
    <w:p>
      <w:r>
        <w:t>The compatible Qwen index supports dense semantic search plus keyword search. Reciprocal Rank Fusion combines ranking positions rather than adding incomparable raw scores. India and International results are selected in separate buckets so a larger corpus in one jurisdiction cannot displace the other. The normal selection depth is eight candidates per jurisdiction, before legal-context expansion.</w:t>
      </w:r>
    </w:p>
    <w:p>
      <w:r>
        <w:t>Keyword retrieval prefers exact full-text matching and can relax to matching individual query terms. Trigram matching is appended as a fallback without displacing full-text results through an incompatible score scale. A dense relevance floor avoids treating arbitrary nearest neighbors as supporting evidence. If embeddings are unavailable, keyword search still uses the same pinned corpus.</w:t>
      </w:r>
    </w:p>
    <w:p>
      <w:r>
        <w:t>The model sees evidence numbers, document labels, jurisdiction, section paths and verbatim stored text. Returned evidence includes source title, section key, physical PDF page, character offsets, SHA-256, effective dates, corpus version, source URL, a version-pinned PDF URL and highlight rectangles. The model cannot author the quoted source text.</w:t>
      </w:r>
    </w:p>
    <w:p>
      <w:pPr>
        <w:pStyle w:val="Heading2"/>
      </w:pPr>
      <w:r>
        <w:t>Verification decisions</w:t>
      </w:r>
    </w:p>
    <w:p>
      <w:r>
        <w:t>The local multilingual mDeBERTa NLI model checks whether the cited premise entails a claim. Available exact parent spans from the same document, version and jurisdiction can be attached as additional citations. Premises that exceed the verifier's supported input budget are handled conservatively rather than silently treated as 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88"/>
        <w:gridCol w:w="3413"/>
      </w:tblGrid>
      <w:tr>
        <w:trPr>
          <w:tblHeader/>
          <w:cantSplit/>
        </w:trPr>
        <w:tc>
          <w:tcPr>
            <w:tcW w:type="dxa" w:w="2448"/>
            <w:vAlign w:val="center"/>
            <w:tcMar>
              <w:top w:w="90" w:type="dxa"/>
              <w:bottom w:w="90" w:type="dxa"/>
              <w:left w:w="100" w:type="dxa"/>
              <w:right w:w="100" w:type="dxa"/>
            </w:tcMar>
            <w:shd w:fill="DBEAF2"/>
          </w:tcPr>
          <w:p>
            <w:pPr>
              <w:spacing w:after="0" w:line="252" w:lineRule="auto"/>
            </w:pPr>
            <w:r>
              <w:rPr>
                <w:b/>
                <w:sz w:val="19"/>
              </w:rPr>
              <w:t>Check</w:t>
            </w:r>
          </w:p>
        </w:tc>
        <w:tc>
          <w:tcPr>
            <w:tcW w:type="dxa" w:w="3888"/>
            <w:vAlign w:val="center"/>
            <w:tcMar>
              <w:top w:w="90" w:type="dxa"/>
              <w:bottom w:w="90" w:type="dxa"/>
              <w:left w:w="100" w:type="dxa"/>
              <w:right w:w="100" w:type="dxa"/>
            </w:tcMar>
            <w:shd w:fill="DBEAF2"/>
          </w:tcPr>
          <w:p>
            <w:pPr>
              <w:spacing w:after="0" w:line="252" w:lineRule="auto"/>
            </w:pPr>
            <w:r>
              <w:rPr>
                <w:b/>
                <w:sz w:val="19"/>
              </w:rPr>
              <w:t>Current decision</w:t>
            </w:r>
          </w:p>
        </w:tc>
        <w:tc>
          <w:tcPr>
            <w:tcW w:type="dxa" w:w="3413"/>
            <w:vAlign w:val="center"/>
            <w:tcMar>
              <w:top w:w="90" w:type="dxa"/>
              <w:bottom w:w="90" w:type="dxa"/>
              <w:left w:w="100" w:type="dxa"/>
              <w:right w:w="100" w:type="dxa"/>
            </w:tcMar>
            <w:shd w:fill="DBEAF2"/>
          </w:tcPr>
          <w:p>
            <w:pPr>
              <w:spacing w:after="0" w:line="252" w:lineRule="auto"/>
            </w:pPr>
            <w:r>
              <w:rPr>
                <w:b/>
                <w:sz w:val="19"/>
              </w:rPr>
              <w:t>Why it matters</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NLI entailment below 0.50</w:t>
            </w:r>
          </w:p>
        </w:tc>
        <w:tc>
          <w:tcPr>
            <w:tcW w:type="dxa" w:w="3888"/>
            <w:vAlign w:val="center"/>
            <w:tcMar>
              <w:top w:w="90" w:type="dxa"/>
              <w:bottom w:w="90" w:type="dxa"/>
              <w:left w:w="100" w:type="dxa"/>
              <w:right w:w="100" w:type="dxa"/>
            </w:tcMar>
            <w:shd w:fill="FFFFFF"/>
          </w:tcPr>
          <w:p>
            <w:pPr>
              <w:spacing w:after="0" w:line="252" w:lineRule="auto"/>
            </w:pPr>
            <w:r>
              <w:rPr>
                <w:b w:val="0"/>
                <w:sz w:val="19"/>
              </w:rPr>
              <w:t>Drop claim</w:t>
            </w:r>
          </w:p>
        </w:tc>
        <w:tc>
          <w:tcPr>
            <w:tcW w:type="dxa" w:w="3413"/>
            <w:vAlign w:val="center"/>
            <w:tcMar>
              <w:top w:w="90" w:type="dxa"/>
              <w:bottom w:w="90" w:type="dxa"/>
              <w:left w:w="100" w:type="dxa"/>
              <w:right w:w="100" w:type="dxa"/>
            </w:tcMar>
            <w:shd w:fill="FFFFFF"/>
          </w:tcPr>
          <w:p>
            <w:pPr>
              <w:spacing w:after="0" w:line="252" w:lineRule="auto"/>
            </w:pPr>
            <w:r>
              <w:rPr>
                <w:b w:val="0"/>
                <w:sz w:val="19"/>
              </w:rPr>
              <w:t>Weak support cannot appear as synthesis</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NLI entailment from 0.50 to below 0.80</w:t>
            </w:r>
          </w:p>
        </w:tc>
        <w:tc>
          <w:tcPr>
            <w:tcW w:type="dxa" w:w="3888"/>
            <w:vAlign w:val="center"/>
            <w:tcMar>
              <w:top w:w="90" w:type="dxa"/>
              <w:bottom w:w="90" w:type="dxa"/>
              <w:left w:w="100" w:type="dxa"/>
              <w:right w:w="100" w:type="dxa"/>
            </w:tcMar>
            <w:shd w:fill="F5F8FA"/>
          </w:tcPr>
          <w:p>
            <w:pPr>
              <w:spacing w:after="0" w:line="252" w:lineRule="auto"/>
            </w:pPr>
            <w:r>
              <w:rPr>
                <w:b w:val="0"/>
                <w:sz w:val="19"/>
              </w:rPr>
              <w:t>Partial status</w:t>
            </w:r>
          </w:p>
        </w:tc>
        <w:tc>
          <w:tcPr>
            <w:tcW w:type="dxa" w:w="3413"/>
            <w:vAlign w:val="center"/>
            <w:tcMar>
              <w:top w:w="90" w:type="dxa"/>
              <w:bottom w:w="90" w:type="dxa"/>
              <w:left w:w="100" w:type="dxa"/>
              <w:right w:w="100" w:type="dxa"/>
            </w:tcMar>
            <w:shd w:fill="F5F8FA"/>
          </w:tcPr>
          <w:p>
            <w:pPr>
              <w:spacing w:after="0" w:line="252" w:lineRule="auto"/>
            </w:pPr>
            <w:r>
              <w:rPr>
                <w:b w:val="0"/>
                <w:sz w:val="19"/>
              </w:rPr>
              <w:t>Intermediate model support needs review</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NLI entailment at least 0.80</w:t>
            </w:r>
          </w:p>
        </w:tc>
        <w:tc>
          <w:tcPr>
            <w:tcW w:type="dxa" w:w="3888"/>
            <w:vAlign w:val="center"/>
            <w:tcMar>
              <w:top w:w="90" w:type="dxa"/>
              <w:bottom w:w="90" w:type="dxa"/>
              <w:left w:w="100" w:type="dxa"/>
              <w:right w:w="100" w:type="dxa"/>
            </w:tcMar>
            <w:shd w:fill="FFFFFF"/>
          </w:tcPr>
          <w:p>
            <w:pPr>
              <w:spacing w:after="0" w:line="252" w:lineRule="auto"/>
            </w:pPr>
            <w:r>
              <w:rPr>
                <w:b w:val="0"/>
                <w:sz w:val="19"/>
              </w:rPr>
              <w:t>Eligible for verified status</w:t>
            </w:r>
          </w:p>
        </w:tc>
        <w:tc>
          <w:tcPr>
            <w:tcW w:type="dxa" w:w="3413"/>
            <w:vAlign w:val="center"/>
            <w:tcMar>
              <w:top w:w="90" w:type="dxa"/>
              <w:bottom w:w="90" w:type="dxa"/>
              <w:left w:w="100" w:type="dxa"/>
              <w:right w:w="100" w:type="dxa"/>
            </w:tcMar>
            <w:shd w:fill="FFFFFF"/>
          </w:tcPr>
          <w:p>
            <w:pPr>
              <w:spacing w:after="0" w:line="252" w:lineRule="auto"/>
            </w:pPr>
            <w:r>
              <w:rPr>
                <w:b w:val="0"/>
                <w:sz w:val="19"/>
              </w:rPr>
              <w:t>Other checks must also pass</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Unsupported number year or section reference</w:t>
            </w:r>
          </w:p>
        </w:tc>
        <w:tc>
          <w:tcPr>
            <w:tcW w:type="dxa" w:w="3888"/>
            <w:vAlign w:val="center"/>
            <w:tcMar>
              <w:top w:w="90" w:type="dxa"/>
              <w:bottom w:w="90" w:type="dxa"/>
              <w:left w:w="100" w:type="dxa"/>
              <w:right w:w="100" w:type="dxa"/>
            </w:tcMar>
            <w:shd w:fill="F5F8FA"/>
          </w:tcPr>
          <w:p>
            <w:pPr>
              <w:spacing w:after="0" w:line="252" w:lineRule="auto"/>
            </w:pPr>
            <w:r>
              <w:rPr>
                <w:b w:val="0"/>
                <w:sz w:val="19"/>
              </w:rPr>
              <w:t>Drop claim</w:t>
            </w:r>
          </w:p>
        </w:tc>
        <w:tc>
          <w:tcPr>
            <w:tcW w:type="dxa" w:w="3413"/>
            <w:vAlign w:val="center"/>
            <w:tcMar>
              <w:top w:w="90" w:type="dxa"/>
              <w:bottom w:w="90" w:type="dxa"/>
              <w:left w:w="100" w:type="dxa"/>
              <w:right w:w="100" w:type="dxa"/>
            </w:tcMar>
            <w:shd w:fill="F5F8FA"/>
          </w:tcPr>
          <w:p>
            <w:pPr>
              <w:spacing w:after="0" w:line="252" w:lineRule="auto"/>
            </w:pPr>
            <w:r>
              <w:rPr>
                <w:b w:val="0"/>
                <w:sz w:val="19"/>
              </w:rPr>
              <w:t>Numeric and locator mistakes change legal meaning</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Negation or shall versus may mismatch</w:t>
            </w:r>
          </w:p>
        </w:tc>
        <w:tc>
          <w:tcPr>
            <w:tcW w:type="dxa" w:w="3888"/>
            <w:vAlign w:val="center"/>
            <w:tcMar>
              <w:top w:w="90" w:type="dxa"/>
              <w:bottom w:w="90" w:type="dxa"/>
              <w:left w:w="100" w:type="dxa"/>
              <w:right w:w="100" w:type="dxa"/>
            </w:tcMar>
            <w:shd w:fill="FFFFFF"/>
          </w:tcPr>
          <w:p>
            <w:pPr>
              <w:spacing w:after="0" w:line="252" w:lineRule="auto"/>
            </w:pPr>
            <w:r>
              <w:rPr>
                <w:b w:val="0"/>
                <w:sz w:val="19"/>
              </w:rPr>
              <w:t>Downgrade to partial</w:t>
            </w:r>
          </w:p>
        </w:tc>
        <w:tc>
          <w:tcPr>
            <w:tcW w:type="dxa" w:w="3413"/>
            <w:vAlign w:val="center"/>
            <w:tcMar>
              <w:top w:w="90" w:type="dxa"/>
              <w:bottom w:w="90" w:type="dxa"/>
              <w:left w:w="100" w:type="dxa"/>
              <w:right w:w="100" w:type="dxa"/>
            </w:tcMar>
            <w:shd w:fill="FFFFFF"/>
          </w:tcPr>
          <w:p>
            <w:pPr>
              <w:spacing w:after="0" w:line="252" w:lineRule="auto"/>
            </w:pPr>
            <w:r>
              <w:rPr>
                <w:b w:val="0"/>
                <w:sz w:val="19"/>
              </w:rPr>
              <w:t>Conditions and obligation strength must survive paraphrase</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Unknown or invalid evidence reference</w:t>
            </w:r>
          </w:p>
        </w:tc>
        <w:tc>
          <w:tcPr>
            <w:tcW w:type="dxa" w:w="3888"/>
            <w:vAlign w:val="center"/>
            <w:tcMar>
              <w:top w:w="90" w:type="dxa"/>
              <w:bottom w:w="90" w:type="dxa"/>
              <w:left w:w="100" w:type="dxa"/>
              <w:right w:w="100" w:type="dxa"/>
            </w:tcMar>
            <w:shd w:fill="F5F8FA"/>
          </w:tcPr>
          <w:p>
            <w:pPr>
              <w:spacing w:after="0" w:line="252" w:lineRule="auto"/>
            </w:pPr>
            <w:r>
              <w:rPr>
                <w:b w:val="0"/>
                <w:sz w:val="19"/>
              </w:rPr>
              <w:t>Reject during resolution</w:t>
            </w:r>
          </w:p>
        </w:tc>
        <w:tc>
          <w:tcPr>
            <w:tcW w:type="dxa" w:w="3413"/>
            <w:vAlign w:val="center"/>
            <w:tcMar>
              <w:top w:w="90" w:type="dxa"/>
              <w:bottom w:w="90" w:type="dxa"/>
              <w:left w:w="100" w:type="dxa"/>
              <w:right w:w="100" w:type="dxa"/>
            </w:tcMar>
            <w:shd w:fill="F5F8FA"/>
          </w:tcPr>
          <w:p>
            <w:pPr>
              <w:spacing w:after="0" w:line="252" w:lineRule="auto"/>
            </w:pPr>
            <w:r>
              <w:rPr>
                <w:b w:val="0"/>
                <w:sz w:val="19"/>
              </w:rPr>
              <w:t>A citation must resolve to actual server evidence</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Translation round trip fails</w:t>
            </w:r>
          </w:p>
        </w:tc>
        <w:tc>
          <w:tcPr>
            <w:tcW w:type="dxa" w:w="3888"/>
            <w:vAlign w:val="center"/>
            <w:tcMar>
              <w:top w:w="90" w:type="dxa"/>
              <w:bottom w:w="90" w:type="dxa"/>
              <w:left w:w="100" w:type="dxa"/>
              <w:right w:w="100" w:type="dxa"/>
            </w:tcMar>
            <w:shd w:fill="FFFFFF"/>
          </w:tcPr>
          <w:p>
            <w:pPr>
              <w:spacing w:after="0" w:line="252" w:lineRule="auto"/>
            </w:pPr>
            <w:r>
              <w:rPr>
                <w:b w:val="0"/>
                <w:sz w:val="19"/>
              </w:rPr>
              <w:t>Partial and review recommended</w:t>
            </w:r>
          </w:p>
        </w:tc>
        <w:tc>
          <w:tcPr>
            <w:tcW w:type="dxa" w:w="3413"/>
            <w:vAlign w:val="center"/>
            <w:tcMar>
              <w:top w:w="90" w:type="dxa"/>
              <w:bottom w:w="90" w:type="dxa"/>
              <w:left w:w="100" w:type="dxa"/>
              <w:right w:w="100" w:type="dxa"/>
            </w:tcMar>
            <w:shd w:fill="FFFFFF"/>
          </w:tcPr>
          <w:p>
            <w:pPr>
              <w:spacing w:after="0" w:line="252" w:lineRule="auto"/>
            </w:pPr>
            <w:r>
              <w:rPr>
                <w:b w:val="0"/>
                <w:sz w:val="19"/>
              </w:rPr>
              <w:t>The translated wording may have changed meaning</w:t>
            </w:r>
          </w:p>
        </w:tc>
      </w:tr>
    </w:tbl>
    <w:p>
      <w:pPr>
        <w:spacing w:after="20" w:before="0" w:line="240" w:lineRule="auto"/>
      </w:pPr>
      <w:r>
        <w:rPr>
          <w:sz w:val="2"/>
        </w:rPr>
      </w:r>
    </w:p>
    <w:p>
      <w:r>
        <w:t>Answer confidence combines retrieval margin, mean entailment, fully verified claim ratio and a translation signal with equal default weights. A score below 0.35 abstains; 0.35 to below 0.60 recommends review; 0.60 or above is high. Any partial claim recommends review. These are implementation settings, not independently validated legal-risk thresholds.</w:t>
      </w:r>
    </w:p>
    <w:p>
      <w:pPr>
        <w:pStyle w:val="Heading2"/>
      </w:pPr>
      <w:r>
        <w:t>Why different refusals are necessary</w:t>
      </w:r>
    </w:p>
    <w:p>
      <w:r>
        <w:t>An unrelated weather question is out_of_scope. A relevant question about an absent instrument is no_evidence. A failed local model call is generation_unavailable and may display real retrieved excerpts. Low-confidence supported material can produce low_confidence. Deadline failures are reported separately. This distinction tells the user whether to change the subject, add a source, restore a service or seek review.</w:t>
      </w:r>
    </w:p>
    <w:p>
      <w:r>
        <w:t>No refusal is verified synthesis. A source card is evidence to inspect, not an answer that secretly came from a backup provider. The broader question about traditional knowledge still sometimes refuses with the current keyword index; the specific section 3(p) question has produced verified claims.</w:t>
      </w:r>
    </w:p>
    <w:p>
      <w:bookmarkStart w:id="3" w:name="section_3"/>
      <w:pPr>
        <w:pStyle w:val="Heading1"/>
      </w:pPr>
      <w:r>
        <w:t>4 Regulatory tools and classification</w:t>
      </w:r>
      <w:bookmarkEnd w:id="3"/>
    </w:p>
    <w:p>
      <w:pPr>
        <w:pStyle w:val="Heading2"/>
      </w:pPr>
      <w:r>
        <w:t>Four adaptive classification prompts</w:t>
      </w:r>
    </w:p>
    <w:p>
      <w:r>
        <w:t>Classification is a stateless rule workflow: the client resubmits accumulated answers. It collects up to four distinct groups, with repeated clarification in a group when facts are missing or conflict. Four groups do not mean four yes/no questions; a group contains several fields.</w:t>
      </w:r>
    </w:p>
    <w:p>
      <w:r>
        <w:t>1. Intended use, therapeutic claims and proposed label wording establish the purpose.</w:t>
      </w:r>
    </w:p>
    <w:p>
      <w:r>
        <w:t>2. Route, form, quantity, frequency and intended population establish administration.</w:t>
      </w:r>
    </w:p>
    <w:p>
      <w:r>
        <w:t>3. An authoritative classical book/passage match and deviations establish how closely the product follows a described preparation.</w:t>
      </w:r>
    </w:p>
    <w:p>
      <w:r>
        <w:t>4. Ingredient basis, plant parts, amounts, preparation/extraction, novelty, purified fraction and marker details establish the formulation characteristics.</w:t>
      </w:r>
    </w:p>
    <w:p>
      <w:r>
        <w:t>For non-medicinal food and cosmetic paths, medicinal-only fields are omitted. Unknown purpose, uncertain route, an exact match without a book reference, conflicting food/cosmetic therapeutic claims, or inconsistent extract answers keep clarification open. Clinical-data availability alone does not determine the category.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88"/>
        <w:gridCol w:w="3413"/>
      </w:tblGrid>
      <w:tr>
        <w:trPr>
          <w:tblHeader/>
          <w:cantSplit/>
        </w:trPr>
        <w:tc>
          <w:tcPr>
            <w:tcW w:type="dxa" w:w="2448"/>
            <w:vAlign w:val="center"/>
            <w:tcMar>
              <w:top w:w="90" w:type="dxa"/>
              <w:bottom w:w="90" w:type="dxa"/>
              <w:left w:w="100" w:type="dxa"/>
              <w:right w:w="100" w:type="dxa"/>
            </w:tcMar>
            <w:shd w:fill="DBEAF2"/>
          </w:tcPr>
          <w:p>
            <w:pPr>
              <w:spacing w:after="0" w:line="252" w:lineRule="auto"/>
            </w:pPr>
            <w:r>
              <w:rPr>
                <w:b/>
                <w:sz w:val="19"/>
              </w:rPr>
              <w:t>Category value</w:t>
            </w:r>
          </w:p>
        </w:tc>
        <w:tc>
          <w:tcPr>
            <w:tcW w:type="dxa" w:w="3888"/>
            <w:vAlign w:val="center"/>
            <w:tcMar>
              <w:top w:w="90" w:type="dxa"/>
              <w:bottom w:w="90" w:type="dxa"/>
              <w:left w:w="100" w:type="dxa"/>
              <w:right w:w="100" w:type="dxa"/>
            </w:tcMar>
            <w:shd w:fill="DBEAF2"/>
          </w:tcPr>
          <w:p>
            <w:pPr>
              <w:spacing w:after="0" w:line="252" w:lineRule="auto"/>
            </w:pPr>
            <w:r>
              <w:rPr>
                <w:b/>
                <w:sz w:val="19"/>
              </w:rPr>
              <w:t>Application pathway</w:t>
            </w:r>
          </w:p>
        </w:tc>
        <w:tc>
          <w:tcPr>
            <w:tcW w:type="dxa" w:w="3413"/>
            <w:vAlign w:val="center"/>
            <w:tcMar>
              <w:top w:w="90" w:type="dxa"/>
              <w:bottom w:w="90" w:type="dxa"/>
              <w:left w:w="100" w:type="dxa"/>
              <w:right w:w="100" w:type="dxa"/>
            </w:tcMar>
            <w:shd w:fill="DBEAF2"/>
          </w:tcPr>
          <w:p>
            <w:pPr>
              <w:spacing w:after="0" w:line="252" w:lineRule="auto"/>
            </w:pPr>
            <w:r>
              <w:rPr>
                <w:b/>
                <w:sz w:val="19"/>
              </w:rPr>
              <w:t>Test variation from the medicinal baseline</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classical</w:t>
            </w:r>
          </w:p>
        </w:tc>
        <w:tc>
          <w:tcPr>
            <w:tcW w:type="dxa" w:w="3888"/>
            <w:vAlign w:val="center"/>
            <w:tcMar>
              <w:top w:w="90" w:type="dxa"/>
              <w:bottom w:w="90" w:type="dxa"/>
              <w:left w:w="100" w:type="dxa"/>
              <w:right w:w="100" w:type="dxa"/>
            </w:tcMar>
            <w:shd w:fill="FFFFFF"/>
          </w:tcPr>
          <w:p>
            <w:pPr>
              <w:spacing w:after="0" w:line="252" w:lineRule="auto"/>
            </w:pPr>
            <w:r>
              <w:rPr>
                <w:b w:val="0"/>
                <w:sz w:val="19"/>
              </w:rPr>
              <w:t>Classical or generic Ayurvedic medicine</w:t>
            </w:r>
          </w:p>
        </w:tc>
        <w:tc>
          <w:tcPr>
            <w:tcW w:type="dxa" w:w="3413"/>
            <w:vAlign w:val="center"/>
            <w:tcMar>
              <w:top w:w="90" w:type="dxa"/>
              <w:bottom w:w="90" w:type="dxa"/>
              <w:left w:w="100" w:type="dxa"/>
              <w:right w:w="100" w:type="dxa"/>
            </w:tcMar>
            <w:shd w:fill="FFFFFF"/>
          </w:tcPr>
          <w:p>
            <w:pPr>
              <w:spacing w:after="0" w:line="252" w:lineRule="auto"/>
            </w:pPr>
            <w:r>
              <w:rPr>
                <w:b w:val="0"/>
                <w:sz w:val="19"/>
              </w:rPr>
              <w:t>Exact match classical ingredients and no declared novelty</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proprietary</w:t>
            </w:r>
          </w:p>
        </w:tc>
        <w:tc>
          <w:tcPr>
            <w:tcW w:type="dxa" w:w="3888"/>
            <w:vAlign w:val="center"/>
            <w:tcMar>
              <w:top w:w="90" w:type="dxa"/>
              <w:bottom w:w="90" w:type="dxa"/>
              <w:left w:w="100" w:type="dxa"/>
              <w:right w:w="100" w:type="dxa"/>
            </w:tcMar>
            <w:shd w:fill="F5F8FA"/>
          </w:tcPr>
          <w:p>
            <w:pPr>
              <w:spacing w:after="0" w:line="252" w:lineRule="auto"/>
            </w:pPr>
            <w:r>
              <w:rPr>
                <w:b w:val="0"/>
                <w:sz w:val="19"/>
              </w:rPr>
              <w:t>Patent or proprietary Ayurvedic medicine</w:t>
            </w:r>
          </w:p>
        </w:tc>
        <w:tc>
          <w:tcPr>
            <w:tcW w:type="dxa" w:w="3413"/>
            <w:vAlign w:val="center"/>
            <w:tcMar>
              <w:top w:w="90" w:type="dxa"/>
              <w:bottom w:w="90" w:type="dxa"/>
              <w:left w:w="100" w:type="dxa"/>
              <w:right w:w="100" w:type="dxa"/>
            </w:tcMar>
            <w:shd w:fill="F5F8FA"/>
          </w:tcPr>
          <w:p>
            <w:pPr>
              <w:spacing w:after="0" w:line="252" w:lineRule="auto"/>
            </w:pPr>
            <w:r>
              <w:rPr>
                <w:b w:val="0"/>
                <w:sz w:val="19"/>
              </w:rPr>
              <w:t>No exact formulation match but authoritative ingredients and no novelty</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new_drug</w:t>
            </w:r>
          </w:p>
        </w:tc>
        <w:tc>
          <w:tcPr>
            <w:tcW w:type="dxa" w:w="3888"/>
            <w:vAlign w:val="center"/>
            <w:tcMar>
              <w:top w:w="90" w:type="dxa"/>
              <w:bottom w:w="90" w:type="dxa"/>
              <w:left w:w="100" w:type="dxa"/>
              <w:right w:w="100" w:type="dxa"/>
            </w:tcMar>
            <w:shd w:fill="FFFFFF"/>
          </w:tcPr>
          <w:p>
            <w:pPr>
              <w:spacing w:after="0" w:line="252" w:lineRule="auto"/>
            </w:pPr>
            <w:r>
              <w:rPr>
                <w:b w:val="0"/>
                <w:sz w:val="19"/>
              </w:rPr>
              <w:t>Investigation and regulatory review workflow</w:t>
            </w:r>
          </w:p>
        </w:tc>
        <w:tc>
          <w:tcPr>
            <w:tcW w:type="dxa" w:w="3413"/>
            <w:vAlign w:val="center"/>
            <w:tcMar>
              <w:top w:w="90" w:type="dxa"/>
              <w:bottom w:w="90" w:type="dxa"/>
              <w:left w:w="100" w:type="dxa"/>
              <w:right w:w="100" w:type="dxa"/>
            </w:tcMar>
            <w:shd w:fill="FFFFFF"/>
          </w:tcPr>
          <w:p>
            <w:pPr>
              <w:spacing w:after="0" w:line="252" w:lineRule="auto"/>
            </w:pPr>
            <w:r>
              <w:rPr>
                <w:b w:val="0"/>
                <w:sz w:val="19"/>
              </w:rPr>
              <w:t>Modified formulation with novelty or unsupported ingredient basis</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phytopharmaceutical</w:t>
            </w:r>
          </w:p>
        </w:tc>
        <w:tc>
          <w:tcPr>
            <w:tcW w:type="dxa" w:w="3888"/>
            <w:vAlign w:val="center"/>
            <w:tcMar>
              <w:top w:w="90" w:type="dxa"/>
              <w:bottom w:w="90" w:type="dxa"/>
              <w:left w:w="100" w:type="dxa"/>
              <w:right w:w="100" w:type="dxa"/>
            </w:tcMar>
            <w:shd w:fill="F5F8FA"/>
          </w:tcPr>
          <w:p>
            <w:pPr>
              <w:spacing w:after="0" w:line="252" w:lineRule="auto"/>
            </w:pPr>
            <w:r>
              <w:rPr>
                <w:b w:val="0"/>
                <w:sz w:val="19"/>
              </w:rPr>
              <w:t>Phytopharmaceutical pathway</w:t>
            </w:r>
          </w:p>
        </w:tc>
        <w:tc>
          <w:tcPr>
            <w:tcW w:type="dxa" w:w="3413"/>
            <w:vAlign w:val="center"/>
            <w:tcMar>
              <w:top w:w="90" w:type="dxa"/>
              <w:bottom w:w="90" w:type="dxa"/>
              <w:left w:w="100" w:type="dxa"/>
              <w:right w:w="100" w:type="dxa"/>
            </w:tcMar>
            <w:shd w:fill="F5F8FA"/>
          </w:tcPr>
          <w:p>
            <w:pPr>
              <w:spacing w:after="0" w:line="252" w:lineRule="auto"/>
            </w:pPr>
            <w:r>
              <w:rPr>
                <w:b w:val="0"/>
                <w:sz w:val="19"/>
              </w:rPr>
              <w:t>Purified standardized fraction four assessed compounds and non-parenteral route</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aahar_nutraceutical</w:t>
            </w:r>
          </w:p>
        </w:tc>
        <w:tc>
          <w:tcPr>
            <w:tcW w:type="dxa" w:w="3888"/>
            <w:vAlign w:val="center"/>
            <w:tcMar>
              <w:top w:w="90" w:type="dxa"/>
              <w:bottom w:w="90" w:type="dxa"/>
              <w:left w:w="100" w:type="dxa"/>
              <w:right w:w="100" w:type="dxa"/>
            </w:tcMar>
            <w:shd w:fill="FFFFFF"/>
          </w:tcPr>
          <w:p>
            <w:pPr>
              <w:spacing w:after="0" w:line="252" w:lineRule="auto"/>
            </w:pPr>
            <w:r>
              <w:rPr>
                <w:b w:val="0"/>
                <w:sz w:val="19"/>
              </w:rPr>
              <w:t>Food pathway requiring further review</w:t>
            </w:r>
          </w:p>
        </w:tc>
        <w:tc>
          <w:tcPr>
            <w:tcW w:type="dxa" w:w="3413"/>
            <w:vAlign w:val="center"/>
            <w:tcMar>
              <w:top w:w="90" w:type="dxa"/>
              <w:bottom w:w="90" w:type="dxa"/>
              <w:left w:w="100" w:type="dxa"/>
              <w:right w:w="100" w:type="dxa"/>
            </w:tcMar>
            <w:shd w:fill="FFFFFF"/>
          </w:tcPr>
          <w:p>
            <w:pPr>
              <w:spacing w:after="0" w:line="252" w:lineRule="auto"/>
            </w:pPr>
            <w:r>
              <w:rPr>
                <w:b w:val="0"/>
                <w:sz w:val="19"/>
              </w:rPr>
              <w:t>Food purpose no therapeutic claims and oral consumption</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cosmetic</w:t>
            </w:r>
          </w:p>
        </w:tc>
        <w:tc>
          <w:tcPr>
            <w:tcW w:type="dxa" w:w="3888"/>
            <w:vAlign w:val="center"/>
            <w:tcMar>
              <w:top w:w="90" w:type="dxa"/>
              <w:bottom w:w="90" w:type="dxa"/>
              <w:left w:w="100" w:type="dxa"/>
              <w:right w:w="100" w:type="dxa"/>
            </w:tcMar>
            <w:shd w:fill="F5F8FA"/>
          </w:tcPr>
          <w:p>
            <w:pPr>
              <w:spacing w:after="0" w:line="252" w:lineRule="auto"/>
            </w:pPr>
            <w:r>
              <w:rPr>
                <w:b w:val="0"/>
                <w:sz w:val="19"/>
              </w:rPr>
              <w:t>Cosmetic pathway</w:t>
            </w:r>
          </w:p>
        </w:tc>
        <w:tc>
          <w:tcPr>
            <w:tcW w:type="dxa" w:w="3413"/>
            <w:vAlign w:val="center"/>
            <w:tcMar>
              <w:top w:w="90" w:type="dxa"/>
              <w:bottom w:w="90" w:type="dxa"/>
              <w:left w:w="100" w:type="dxa"/>
              <w:right w:w="100" w:type="dxa"/>
            </w:tcMar>
            <w:shd w:fill="F5F8FA"/>
          </w:tcPr>
          <w:p>
            <w:pPr>
              <w:spacing w:after="0" w:line="252" w:lineRule="auto"/>
            </w:pPr>
            <w:r>
              <w:rPr>
                <w:b w:val="0"/>
                <w:sz w:val="19"/>
              </w:rPr>
              <w:t>Cosmetic purpose no therapeutic claims and external application</w:t>
            </w:r>
          </w:p>
        </w:tc>
      </w:tr>
    </w:tbl>
    <w:p>
      <w:pPr>
        <w:spacing w:after="20" w:before="0" w:line="240" w:lineRule="auto"/>
      </w:pPr>
      <w:r>
        <w:rPr>
          <w:sz w:val="2"/>
        </w:rPr>
      </w:r>
    </w:p>
    <w:p>
      <w:r>
        <w:t>The combined food category and new_drug grouping are application workflows. They do not assert that distinct statutory regimes are interchangeable or that there is a standalone statutory category called new Ayurvedic drug. A defining clause must resolve in the actual corpus before category evidence is treated as present. A generic definitions heading is insufficient. Missing defining evidence gives draft status and requests review.</w:t>
      </w:r>
    </w:p>
    <w:p>
      <w:pPr>
        <w:pStyle w:val="Heading2"/>
      </w:pPr>
      <w:r>
        <w:t>Patent rule indicators</w:t>
      </w:r>
    </w:p>
    <w:p>
      <w:r>
        <w:t>The patent tool evaluates declared facts against draft rules linked to stored Patents Act sections 3(p), 3(e) and 3(d). Declaring a classical source, multiple ingredients with no claimed novel effect, or a known-substance derivative can activate an indicator. The weights are rule-design choices, not measured probabilities of rejection. Declaring clinical data alone does not remove the derivative indicator.</w:t>
      </w:r>
    </w:p>
    <w:p>
      <w:r>
        <w:t>This tool is useful for organizing questions and evidence a reviewer should examine. It cannot establish prior-art novelty, inventive step, enhanced efficacy or patentability merely from a checkbox. Inspect the actual cited exclusions and scientific disclosure before using its result in any decision.</w:t>
      </w:r>
    </w:p>
    <w:p>
      <w:pPr>
        <w:pStyle w:val="Heading2"/>
      </w:pPr>
      <w:r>
        <w:t>ABS statutory research checklist</w:t>
      </w:r>
    </w:p>
    <w:p>
      <w:r>
        <w:t>The ABS tool uses the declared activity to retrieve relevant statutory provisions about access, research, intellectual-property applications, transfer of results and related issues. It currently reports applicability unassessed. Required and exempt fields may be null, and the UI must say Unassessed rather than infer Yes or No.</w:t>
      </w:r>
    </w:p>
    <w:p>
      <w:r>
        <w:t>An empty resource list, codified-TK declaration or cultivated-resource declaration does not automatically establish an exemption. The implementation removed blanket conclusions and fixed approval-timing language. Applicant identity, biological resource, activity, transfer and current legal rules require qualified review. Invalid dates and an empty activity selection must return validation errors.</w:t>
      </w:r>
    </w:p>
    <w:p>
      <w:pPr>
        <w:pStyle w:val="Heading2"/>
      </w:pPr>
      <w:r>
        <w:t>Traditional Knowledge Radar</w:t>
      </w:r>
    </w:p>
    <w:p>
      <w:r>
        <w:t>TK Radar normalizes ingredient names against the local ontology, surfaces seed classical matches and prepares a TKDL query pack. Ambiguous names should remain ambiguous instead of silently becoming a guessed species. The system has no authorized live TKDL connection, so a seed match or query pack cannot be described as a completed TKDL prior-art search.</w:t>
      </w:r>
    </w:p>
    <w:p>
      <w:pPr>
        <w:pStyle w:val="Heading2"/>
      </w:pPr>
      <w:r>
        <w:t>Escalation requests</w:t>
      </w:r>
    </w:p>
    <w:p>
      <w:r>
        <w:t>The escalation endpoint stores a ticket associated with a real prior request. The administrator listing requires the configured demo key. Creating a ticket does not send an email, contact a lawyer or guarantee a response; no outbound messaging service is connected. Escalation contact details are stored for follow-up and are not covered by the conversation-history purge. Treat them as a separate retention and privacy concern.</w:t>
      </w:r>
    </w:p>
    <w:p>
      <w:bookmarkStart w:id="4" w:name="section_4"/>
      <w:pPr>
        <w:pStyle w:val="Heading1"/>
      </w:pPr>
      <w:r>
        <w:t>5 Evidence corpus and promotion</w:t>
      </w:r>
      <w:bookmarkEnd w:id="4"/>
    </w:p>
    <w:p>
      <w:pPr>
        <w:pStyle w:val="Heading2"/>
      </w:pPr>
      <w:r>
        <w:t>Source ingestion</w:t>
      </w:r>
    </w:p>
    <w:p>
      <w:r>
        <w:t>The manifest identifies an official source, jurisdiction, type, language, effective dates, URL and pinned hash. Fetching verifies document integrity. Ingestion saves immutable PDF artifacts per version, extracts text, tracks physical-page offsets, parses chapters/sections/rules/articles, retains proviso relationships, computes embeddings and writes sections, chunks and legal edges into a staged version.</w:t>
      </w:r>
    </w:p>
    <w:p>
      <w:r>
        <w:t>The review checks authoritative HTTPS provenance, pinned manifest consistency, source-file hashes, chunk hashes, exact text/offset correspondence, text coverage, highlights, OCR/layout warnings and golden retrieval. Page-level fallback keeps notices or uncertain structure searchable but still raises a review warning; it does not invent a statutory clause number.</w:t>
      </w:r>
    </w:p>
    <w:p>
      <w:pPr>
        <w:pStyle w:val="Heading2"/>
      </w:pPr>
      <w:r>
        <w:t>Why source files and versions are immutable</w:t>
      </w:r>
    </w:p>
    <w:p>
      <w:r>
        <w:t>An old answer must continue to open the PDF it actually cited even after a later amendment is ingested. Mutable files would make a correct stored offset point at unrelated text. Version-pinned artifacts, hashes, effective dates and section metadata preserve the relationship between an answer and its evidence. An as-of filter operates on indexed effective dates; it cannot reconstruct amendments that were never properly ingested.</w:t>
      </w:r>
    </w:p>
    <w:p>
      <w:pPr>
        <w:pStyle w:val="Heading2"/>
      </w:pPr>
      <w:r>
        <w:t>Weekly updates and promotion sequence</w:t>
      </w:r>
    </w:p>
    <w:p>
      <w:r>
        <w:t>1. The source monitor checks fresh official downloads against the pinned bytes weekly and records unchanged, changed or failed status. A failure is visible and does not certify that the source is current.</w:t>
      </w:r>
    </w:p>
    <w:p>
      <w:r>
        <w:t>2. Changed downloads are saved in a separate complete candidate manifest and PDF snapshot. The active corpus is not overwritten.</w:t>
      </w:r>
    </w:p>
    <w:p>
      <w:r>
        <w:t>3. A candidate is ingested as a staged corpus. Interrupted ingestion can resume already committed sources without re-embedding them.</w:t>
      </w:r>
    </w:p>
    <w:p>
      <w:r>
        <w:t>4. Quality review runs extraction/provenance checks and a golden retrieval evaluation. Recall must be at least 0.80 and jurisdiction leaks must be zero. Retrieval precision is reported for reviewer assessment.</w:t>
      </w:r>
    </w:p>
    <w:p>
      <w:r>
        <w:t>5. A named reviewer examines and approves the exact passing report hash. Approval is invalidated by changed source files, vectors, text, locators, dates, metadata, manifest, extraction report or golden set.</w:t>
      </w:r>
    </w:p>
    <w:p>
      <w:r>
        <w:t>6. Promotion checks approval and re-evaluates the version before making it live. It does not automatically promote after a successful download or test.</w:t>
      </w:r>
    </w:p>
    <w:p>
      <w:r>
        <w:t>The source check recorded 26 unchanged sources and two failures: the Biological Diversity ABS Regulations 2025 and Jan Vishwas IP commencement 2024. The saved next-check time was 11 October 2026 at 11:09:34 UTC. Consult the current report rather than assuming this schedule or result remains unchanged.</w:t>
      </w:r>
    </w:p>
    <w:p>
      <w:pPr>
        <w:pStyle w:val="Heading2"/>
      </w:pPr>
      <w:r>
        <w:t>Current quality findings</w:t>
      </w:r>
    </w:p>
    <w:p>
      <w:r>
        <w:t>The staged review has 46 findings. Twelve sources had less than 70 percent of extracted source text indexed, and 191 chunks lacked highlight coordinates. Offset/text comparisons and source integrity passed. Low-text-density pages, repeated/missing headings and truncated tails still require inspection. Blank/form pages and substantive omissions must be distinguished by a reviewer.</w:t>
      </w:r>
    </w:p>
    <w:p>
      <w:r>
        <w:t>Offline parser repair increased TRIPS coverage from 8.3 percent to 95.9 percent and CBD coverage from 10.4 percent to 80.9 percent. The repair recognizes wrapped headings and ignores wrapped inline article references. Nagoya's booklet has out-of-order extraction; page chunks preserve its text with an explicit warning. These are parsing results only, not new live retrieval results. Rule extraction, CBD annexes, OCR/layout and highlights remain unresolved.</w:t>
      </w:r>
    </w:p>
    <w:p>
      <w:pPr>
        <w:pStyle w:val="Heading2"/>
      </w:pPr>
      <w:r>
        <w:t>Coverage matrix</w:t>
      </w:r>
    </w:p>
    <w:p>
      <w:r>
        <w:t xml:space="preserve">Coverage is calculated from document availability in the live version. Indexed means the specified documents exist; it does not certify full extraction, complete amendments or a legally reviewed answer. See </w:t>
      </w:r>
      <w:r>
        <w:rPr>
          <w:rFonts w:ascii="Courier New" w:hAnsi="Courier New"/>
          <w:sz w:val="18"/>
        </w:rPr>
        <w:t>corpus/coverage.yaml</w:t>
      </w:r>
      <w:r>
        <w:t xml:space="preserve"> and </w:t>
      </w:r>
      <w:r>
        <w:rPr>
          <w:rFonts w:ascii="Courier New" w:hAnsi="Courier New"/>
          <w:sz w:val="18"/>
        </w:rPr>
        <w:t>/v1/corpus/coverage</w:t>
      </w:r>
      <w:r>
        <w:t xml:space="preserve"> for topic details and official URLs.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864"/>
        <w:gridCol w:w="3773"/>
      </w:tblGrid>
      <w:tr>
        <w:trPr>
          <w:tblHeader/>
          <w:cantSplit/>
        </w:trPr>
        <w:tc>
          <w:tcPr>
            <w:tcW w:type="dxa" w:w="5112"/>
            <w:vAlign w:val="center"/>
            <w:tcMar>
              <w:top w:w="90" w:type="dxa"/>
              <w:bottom w:w="90" w:type="dxa"/>
              <w:left w:w="100" w:type="dxa"/>
              <w:right w:w="100" w:type="dxa"/>
            </w:tcMar>
            <w:shd w:fill="DBEAF2"/>
          </w:tcPr>
          <w:p>
            <w:pPr>
              <w:spacing w:after="0" w:line="252" w:lineRule="auto"/>
            </w:pPr>
            <w:r>
              <w:rPr>
                <w:b/>
                <w:sz w:val="19"/>
              </w:rPr>
              <w:t>Topic</w:t>
            </w:r>
          </w:p>
        </w:tc>
        <w:tc>
          <w:tcPr>
            <w:tcW w:type="dxa" w:w="864"/>
            <w:vAlign w:val="center"/>
            <w:tcMar>
              <w:top w:w="90" w:type="dxa"/>
              <w:bottom w:w="90" w:type="dxa"/>
              <w:left w:w="100" w:type="dxa"/>
              <w:right w:w="100" w:type="dxa"/>
            </w:tcMar>
            <w:shd w:fill="DBEAF2"/>
          </w:tcPr>
          <w:p>
            <w:pPr>
              <w:spacing w:after="0" w:line="252" w:lineRule="auto"/>
            </w:pPr>
            <w:r>
              <w:rPr>
                <w:b/>
                <w:sz w:val="19"/>
              </w:rPr>
              <w:t>Scope</w:t>
            </w:r>
          </w:p>
        </w:tc>
        <w:tc>
          <w:tcPr>
            <w:tcW w:type="dxa" w:w="3773"/>
            <w:vAlign w:val="center"/>
            <w:tcMar>
              <w:top w:w="90" w:type="dxa"/>
              <w:bottom w:w="90" w:type="dxa"/>
              <w:left w:w="100" w:type="dxa"/>
              <w:right w:w="100" w:type="dxa"/>
            </w:tcMar>
            <w:shd w:fill="DBEAF2"/>
          </w:tcPr>
          <w:p>
            <w:pPr>
              <w:spacing w:after="0" w:line="252" w:lineRule="auto"/>
            </w:pPr>
            <w:r>
              <w:rPr>
                <w:b/>
                <w:sz w:val="19"/>
              </w:rPr>
              <w:t>Current availability</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Indian patents and exclusions</w:t>
            </w:r>
          </w:p>
        </w:tc>
        <w:tc>
          <w:tcPr>
            <w:tcW w:type="dxa" w:w="864"/>
            <w:vAlign w:val="center"/>
            <w:tcMar>
              <w:top w:w="90" w:type="dxa"/>
              <w:bottom w:w="90" w:type="dxa"/>
              <w:left w:w="100" w:type="dxa"/>
              <w:right w:w="100" w:type="dxa"/>
            </w:tcMar>
            <w:shd w:fill="FFFFFF"/>
          </w:tcPr>
          <w:p>
            <w:pPr>
              <w:spacing w:after="0" w:line="252" w:lineRule="auto"/>
            </w:pPr>
            <w:r>
              <w:rPr>
                <w:b w:val="0"/>
                <w:sz w:val="19"/>
              </w:rPr>
              <w:t>IN</w:t>
            </w:r>
          </w:p>
        </w:tc>
        <w:tc>
          <w:tcPr>
            <w:tcW w:type="dxa" w:w="3773"/>
            <w:vAlign w:val="center"/>
            <w:tcMar>
              <w:top w:w="90" w:type="dxa"/>
              <w:bottom w:w="90" w:type="dxa"/>
              <w:left w:w="100" w:type="dxa"/>
              <w:right w:w="100" w:type="dxa"/>
            </w:tcMar>
            <w:shd w:fill="FFFFFF"/>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ASU classification and manufacturing</w:t>
            </w:r>
          </w:p>
        </w:tc>
        <w:tc>
          <w:tcPr>
            <w:tcW w:type="dxa" w:w="864"/>
            <w:vAlign w:val="center"/>
            <w:tcMar>
              <w:top w:w="90" w:type="dxa"/>
              <w:bottom w:w="90" w:type="dxa"/>
              <w:left w:w="100" w:type="dxa"/>
              <w:right w:w="100" w:type="dxa"/>
            </w:tcMar>
            <w:shd w:fill="F5F8FA"/>
          </w:tcPr>
          <w:p>
            <w:pPr>
              <w:spacing w:after="0" w:line="252" w:lineRule="auto"/>
            </w:pPr>
            <w:r>
              <w:rPr>
                <w:b w:val="0"/>
                <w:sz w:val="19"/>
              </w:rPr>
              <w:t>IN</w:t>
            </w:r>
          </w:p>
        </w:tc>
        <w:tc>
          <w:tcPr>
            <w:tcW w:type="dxa" w:w="3773"/>
            <w:vAlign w:val="center"/>
            <w:tcMar>
              <w:top w:w="90" w:type="dxa"/>
              <w:bottom w:w="90" w:type="dxa"/>
              <w:left w:w="100" w:type="dxa"/>
              <w:right w:w="100" w:type="dxa"/>
            </w:tcMar>
            <w:shd w:fill="F5F8FA"/>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Phytopharmaceuticals and clinical trials</w:t>
            </w:r>
          </w:p>
        </w:tc>
        <w:tc>
          <w:tcPr>
            <w:tcW w:type="dxa" w:w="864"/>
            <w:vAlign w:val="center"/>
            <w:tcMar>
              <w:top w:w="90" w:type="dxa"/>
              <w:bottom w:w="90" w:type="dxa"/>
              <w:left w:w="100" w:type="dxa"/>
              <w:right w:w="100" w:type="dxa"/>
            </w:tcMar>
            <w:shd w:fill="FFFFFF"/>
          </w:tcPr>
          <w:p>
            <w:pPr>
              <w:spacing w:after="0" w:line="252" w:lineRule="auto"/>
            </w:pPr>
            <w:r>
              <w:rPr>
                <w:b w:val="0"/>
                <w:sz w:val="19"/>
              </w:rPr>
              <w:t>IN</w:t>
            </w:r>
          </w:p>
        </w:tc>
        <w:tc>
          <w:tcPr>
            <w:tcW w:type="dxa" w:w="3773"/>
            <w:vAlign w:val="center"/>
            <w:tcMar>
              <w:top w:w="90" w:type="dxa"/>
              <w:bottom w:w="90" w:type="dxa"/>
              <w:left w:w="100" w:type="dxa"/>
              <w:right w:w="100" w:type="dxa"/>
            </w:tcMar>
            <w:shd w:fill="FFFFFF"/>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Ayurveda Aahara and nutraceuticals</w:t>
            </w:r>
          </w:p>
        </w:tc>
        <w:tc>
          <w:tcPr>
            <w:tcW w:type="dxa" w:w="864"/>
            <w:vAlign w:val="center"/>
            <w:tcMar>
              <w:top w:w="90" w:type="dxa"/>
              <w:bottom w:w="90" w:type="dxa"/>
              <w:left w:w="100" w:type="dxa"/>
              <w:right w:w="100" w:type="dxa"/>
            </w:tcMar>
            <w:shd w:fill="F5F8FA"/>
          </w:tcPr>
          <w:p>
            <w:pPr>
              <w:spacing w:after="0" w:line="252" w:lineRule="auto"/>
            </w:pPr>
            <w:r>
              <w:rPr>
                <w:b w:val="0"/>
                <w:sz w:val="19"/>
              </w:rPr>
              <w:t>IN</w:t>
            </w:r>
          </w:p>
        </w:tc>
        <w:tc>
          <w:tcPr>
            <w:tcW w:type="dxa" w:w="3773"/>
            <w:vAlign w:val="center"/>
            <w:tcMar>
              <w:top w:w="90" w:type="dxa"/>
              <w:bottom w:w="90" w:type="dxa"/>
              <w:left w:w="100" w:type="dxa"/>
              <w:right w:w="100" w:type="dxa"/>
            </w:tcMar>
            <w:shd w:fill="F5F8FA"/>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Cosmetics regulation</w:t>
            </w:r>
          </w:p>
        </w:tc>
        <w:tc>
          <w:tcPr>
            <w:tcW w:type="dxa" w:w="864"/>
            <w:vAlign w:val="center"/>
            <w:tcMar>
              <w:top w:w="90" w:type="dxa"/>
              <w:bottom w:w="90" w:type="dxa"/>
              <w:left w:w="100" w:type="dxa"/>
              <w:right w:w="100" w:type="dxa"/>
            </w:tcMar>
            <w:shd w:fill="FFFFFF"/>
          </w:tcPr>
          <w:p>
            <w:pPr>
              <w:spacing w:after="0" w:line="252" w:lineRule="auto"/>
            </w:pPr>
            <w:r>
              <w:rPr>
                <w:b w:val="0"/>
                <w:sz w:val="19"/>
              </w:rPr>
              <w:t>IN</w:t>
            </w:r>
          </w:p>
        </w:tc>
        <w:tc>
          <w:tcPr>
            <w:tcW w:type="dxa" w:w="3773"/>
            <w:vAlign w:val="center"/>
            <w:tcMar>
              <w:top w:w="90" w:type="dxa"/>
              <w:bottom w:w="90" w:type="dxa"/>
              <w:left w:w="100" w:type="dxa"/>
              <w:right w:w="100" w:type="dxa"/>
            </w:tcMar>
            <w:shd w:fill="FFFFFF"/>
          </w:tcPr>
          <w:p>
            <w:pPr>
              <w:spacing w:after="0" w:line="252" w:lineRule="auto"/>
            </w:pPr>
            <w:r>
              <w:rPr>
                <w:b w:val="0"/>
                <w:sz w:val="19"/>
              </w:rPr>
              <w:t>Not indexed</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Biodiversity and access and benefit sharing</w:t>
            </w:r>
          </w:p>
        </w:tc>
        <w:tc>
          <w:tcPr>
            <w:tcW w:type="dxa" w:w="864"/>
            <w:vAlign w:val="center"/>
            <w:tcMar>
              <w:top w:w="90" w:type="dxa"/>
              <w:bottom w:w="90" w:type="dxa"/>
              <w:left w:w="100" w:type="dxa"/>
              <w:right w:w="100" w:type="dxa"/>
            </w:tcMar>
            <w:shd w:fill="F5F8FA"/>
          </w:tcPr>
          <w:p>
            <w:pPr>
              <w:spacing w:after="0" w:line="252" w:lineRule="auto"/>
            </w:pPr>
            <w:r>
              <w:rPr>
                <w:b w:val="0"/>
                <w:sz w:val="19"/>
              </w:rPr>
              <w:t>IN</w:t>
            </w:r>
          </w:p>
        </w:tc>
        <w:tc>
          <w:tcPr>
            <w:tcW w:type="dxa" w:w="3773"/>
            <w:vAlign w:val="center"/>
            <w:tcMar>
              <w:top w:w="90" w:type="dxa"/>
              <w:bottom w:w="90" w:type="dxa"/>
              <w:left w:w="100" w:type="dxa"/>
              <w:right w:w="100" w:type="dxa"/>
            </w:tcMar>
            <w:shd w:fill="F5F8FA"/>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Trade marks</w:t>
            </w:r>
          </w:p>
        </w:tc>
        <w:tc>
          <w:tcPr>
            <w:tcW w:type="dxa" w:w="864"/>
            <w:vAlign w:val="center"/>
            <w:tcMar>
              <w:top w:w="90" w:type="dxa"/>
              <w:bottom w:w="90" w:type="dxa"/>
              <w:left w:w="100" w:type="dxa"/>
              <w:right w:w="100" w:type="dxa"/>
            </w:tcMar>
            <w:shd w:fill="FFFFFF"/>
          </w:tcPr>
          <w:p>
            <w:pPr>
              <w:spacing w:after="0" w:line="252" w:lineRule="auto"/>
            </w:pPr>
            <w:r>
              <w:rPr>
                <w:b w:val="0"/>
                <w:sz w:val="19"/>
              </w:rPr>
              <w:t>IN</w:t>
            </w:r>
          </w:p>
        </w:tc>
        <w:tc>
          <w:tcPr>
            <w:tcW w:type="dxa" w:w="3773"/>
            <w:vAlign w:val="center"/>
            <w:tcMar>
              <w:top w:w="90" w:type="dxa"/>
              <w:bottom w:w="90" w:type="dxa"/>
              <w:left w:w="100" w:type="dxa"/>
              <w:right w:w="100" w:type="dxa"/>
            </w:tcMar>
            <w:shd w:fill="FFFFFF"/>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Geographical indications</w:t>
            </w:r>
          </w:p>
        </w:tc>
        <w:tc>
          <w:tcPr>
            <w:tcW w:type="dxa" w:w="864"/>
            <w:vAlign w:val="center"/>
            <w:tcMar>
              <w:top w:w="90" w:type="dxa"/>
              <w:bottom w:w="90" w:type="dxa"/>
              <w:left w:w="100" w:type="dxa"/>
              <w:right w:w="100" w:type="dxa"/>
            </w:tcMar>
            <w:shd w:fill="F5F8FA"/>
          </w:tcPr>
          <w:p>
            <w:pPr>
              <w:spacing w:after="0" w:line="252" w:lineRule="auto"/>
            </w:pPr>
            <w:r>
              <w:rPr>
                <w:b w:val="0"/>
                <w:sz w:val="19"/>
              </w:rPr>
              <w:t>IN</w:t>
            </w:r>
          </w:p>
        </w:tc>
        <w:tc>
          <w:tcPr>
            <w:tcW w:type="dxa" w:w="3773"/>
            <w:vAlign w:val="center"/>
            <w:tcMar>
              <w:top w:w="90" w:type="dxa"/>
              <w:bottom w:w="90" w:type="dxa"/>
              <w:left w:w="100" w:type="dxa"/>
              <w:right w:w="100" w:type="dxa"/>
            </w:tcMar>
            <w:shd w:fill="F5F8FA"/>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Industrial designs</w:t>
            </w:r>
          </w:p>
        </w:tc>
        <w:tc>
          <w:tcPr>
            <w:tcW w:type="dxa" w:w="864"/>
            <w:vAlign w:val="center"/>
            <w:tcMar>
              <w:top w:w="90" w:type="dxa"/>
              <w:bottom w:w="90" w:type="dxa"/>
              <w:left w:w="100" w:type="dxa"/>
              <w:right w:w="100" w:type="dxa"/>
            </w:tcMar>
            <w:shd w:fill="FFFFFF"/>
          </w:tcPr>
          <w:p>
            <w:pPr>
              <w:spacing w:after="0" w:line="252" w:lineRule="auto"/>
            </w:pPr>
            <w:r>
              <w:rPr>
                <w:b w:val="0"/>
                <w:sz w:val="19"/>
              </w:rPr>
              <w:t>IN</w:t>
            </w:r>
          </w:p>
        </w:tc>
        <w:tc>
          <w:tcPr>
            <w:tcW w:type="dxa" w:w="3773"/>
            <w:vAlign w:val="center"/>
            <w:tcMar>
              <w:top w:w="90" w:type="dxa"/>
              <w:bottom w:w="90" w:type="dxa"/>
              <w:left w:w="100" w:type="dxa"/>
              <w:right w:w="100" w:type="dxa"/>
            </w:tcMar>
            <w:shd w:fill="FFFFFF"/>
          </w:tcPr>
          <w:p>
            <w:pPr>
              <w:spacing w:after="0" w:line="252" w:lineRule="auto"/>
            </w:pPr>
            <w:r>
              <w:rPr>
                <w:b w:val="0"/>
                <w:sz w:val="19"/>
              </w:rPr>
              <w:t>Not indexed</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Copyright</w:t>
            </w:r>
          </w:p>
        </w:tc>
        <w:tc>
          <w:tcPr>
            <w:tcW w:type="dxa" w:w="864"/>
            <w:vAlign w:val="center"/>
            <w:tcMar>
              <w:top w:w="90" w:type="dxa"/>
              <w:bottom w:w="90" w:type="dxa"/>
              <w:left w:w="100" w:type="dxa"/>
              <w:right w:w="100" w:type="dxa"/>
            </w:tcMar>
            <w:shd w:fill="F5F8FA"/>
          </w:tcPr>
          <w:p>
            <w:pPr>
              <w:spacing w:after="0" w:line="252" w:lineRule="auto"/>
            </w:pPr>
            <w:r>
              <w:rPr>
                <w:b w:val="0"/>
                <w:sz w:val="19"/>
              </w:rPr>
              <w:t>IN</w:t>
            </w:r>
          </w:p>
        </w:tc>
        <w:tc>
          <w:tcPr>
            <w:tcW w:type="dxa" w:w="3773"/>
            <w:vAlign w:val="center"/>
            <w:tcMar>
              <w:top w:w="90" w:type="dxa"/>
              <w:bottom w:w="90" w:type="dxa"/>
              <w:left w:w="100" w:type="dxa"/>
              <w:right w:w="100" w:type="dxa"/>
            </w:tcMar>
            <w:shd w:fill="F5F8FA"/>
          </w:tcPr>
          <w:p>
            <w:pPr>
              <w:spacing w:after="0" w:line="252" w:lineRule="auto"/>
            </w:pPr>
            <w:r>
              <w:rPr>
                <w:b w:val="0"/>
                <w:sz w:val="19"/>
              </w:rPr>
              <w:t>Not indexed</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Plant variety protection</w:t>
            </w:r>
          </w:p>
        </w:tc>
        <w:tc>
          <w:tcPr>
            <w:tcW w:type="dxa" w:w="864"/>
            <w:vAlign w:val="center"/>
            <w:tcMar>
              <w:top w:w="90" w:type="dxa"/>
              <w:bottom w:w="90" w:type="dxa"/>
              <w:left w:w="100" w:type="dxa"/>
              <w:right w:w="100" w:type="dxa"/>
            </w:tcMar>
            <w:shd w:fill="FFFFFF"/>
          </w:tcPr>
          <w:p>
            <w:pPr>
              <w:spacing w:after="0" w:line="252" w:lineRule="auto"/>
            </w:pPr>
            <w:r>
              <w:rPr>
                <w:b w:val="0"/>
                <w:sz w:val="19"/>
              </w:rPr>
              <w:t>IN</w:t>
            </w:r>
          </w:p>
        </w:tc>
        <w:tc>
          <w:tcPr>
            <w:tcW w:type="dxa" w:w="3773"/>
            <w:vAlign w:val="center"/>
            <w:tcMar>
              <w:top w:w="90" w:type="dxa"/>
              <w:bottom w:w="90" w:type="dxa"/>
              <w:left w:w="100" w:type="dxa"/>
              <w:right w:w="100" w:type="dxa"/>
            </w:tcMar>
            <w:shd w:fill="FFFFFF"/>
          </w:tcPr>
          <w:p>
            <w:pPr>
              <w:spacing w:after="0" w:line="252" w:lineRule="auto"/>
            </w:pPr>
            <w:r>
              <w:rPr>
                <w:b w:val="0"/>
                <w:sz w:val="19"/>
              </w:rPr>
              <w:t>Not indexed</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Trade secrets and confidential know-how</w:t>
            </w:r>
          </w:p>
        </w:tc>
        <w:tc>
          <w:tcPr>
            <w:tcW w:type="dxa" w:w="864"/>
            <w:vAlign w:val="center"/>
            <w:tcMar>
              <w:top w:w="90" w:type="dxa"/>
              <w:bottom w:w="90" w:type="dxa"/>
              <w:left w:w="100" w:type="dxa"/>
              <w:right w:w="100" w:type="dxa"/>
            </w:tcMar>
            <w:shd w:fill="F5F8FA"/>
          </w:tcPr>
          <w:p>
            <w:pPr>
              <w:spacing w:after="0" w:line="252" w:lineRule="auto"/>
            </w:pPr>
            <w:r>
              <w:rPr>
                <w:b w:val="0"/>
                <w:sz w:val="19"/>
              </w:rPr>
              <w:t>IN</w:t>
            </w:r>
          </w:p>
        </w:tc>
        <w:tc>
          <w:tcPr>
            <w:tcW w:type="dxa" w:w="3773"/>
            <w:vAlign w:val="center"/>
            <w:tcMar>
              <w:top w:w="90" w:type="dxa"/>
              <w:bottom w:w="90" w:type="dxa"/>
              <w:left w:w="100" w:type="dxa"/>
              <w:right w:w="100" w:type="dxa"/>
            </w:tcMar>
            <w:shd w:fill="F5F8FA"/>
          </w:tcPr>
          <w:p>
            <w:pPr>
              <w:spacing w:after="0" w:line="252" w:lineRule="auto"/>
            </w:pPr>
            <w:r>
              <w:rPr>
                <w:b w:val="0"/>
                <w:sz w:val="19"/>
              </w:rPr>
              <w:t>Not indexed</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Therapeutic advertising and labels</w:t>
            </w:r>
          </w:p>
        </w:tc>
        <w:tc>
          <w:tcPr>
            <w:tcW w:type="dxa" w:w="864"/>
            <w:vAlign w:val="center"/>
            <w:tcMar>
              <w:top w:w="90" w:type="dxa"/>
              <w:bottom w:w="90" w:type="dxa"/>
              <w:left w:w="100" w:type="dxa"/>
              <w:right w:w="100" w:type="dxa"/>
            </w:tcMar>
            <w:shd w:fill="FFFFFF"/>
          </w:tcPr>
          <w:p>
            <w:pPr>
              <w:spacing w:after="0" w:line="252" w:lineRule="auto"/>
            </w:pPr>
            <w:r>
              <w:rPr>
                <w:b w:val="0"/>
                <w:sz w:val="19"/>
              </w:rPr>
              <w:t>IN</w:t>
            </w:r>
          </w:p>
        </w:tc>
        <w:tc>
          <w:tcPr>
            <w:tcW w:type="dxa" w:w="3773"/>
            <w:vAlign w:val="center"/>
            <w:tcMar>
              <w:top w:w="90" w:type="dxa"/>
              <w:bottom w:w="90" w:type="dxa"/>
              <w:left w:w="100" w:type="dxa"/>
              <w:right w:w="100" w:type="dxa"/>
            </w:tcMar>
            <w:shd w:fill="FFFFFF"/>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WTO TRIPS</w:t>
            </w:r>
          </w:p>
        </w:tc>
        <w:tc>
          <w:tcPr>
            <w:tcW w:type="dxa" w:w="864"/>
            <w:vAlign w:val="center"/>
            <w:tcMar>
              <w:top w:w="90" w:type="dxa"/>
              <w:bottom w:w="90" w:type="dxa"/>
              <w:left w:w="100" w:type="dxa"/>
              <w:right w:w="100" w:type="dxa"/>
            </w:tcMar>
            <w:shd w:fill="F5F8FA"/>
          </w:tcPr>
          <w:p>
            <w:pPr>
              <w:spacing w:after="0" w:line="252" w:lineRule="auto"/>
            </w:pPr>
            <w:r>
              <w:rPr>
                <w:b w:val="0"/>
                <w:sz w:val="19"/>
              </w:rPr>
              <w:t>INTL</w:t>
            </w:r>
          </w:p>
        </w:tc>
        <w:tc>
          <w:tcPr>
            <w:tcW w:type="dxa" w:w="3773"/>
            <w:vAlign w:val="center"/>
            <w:tcMar>
              <w:top w:w="90" w:type="dxa"/>
              <w:bottom w:w="90" w:type="dxa"/>
              <w:left w:w="100" w:type="dxa"/>
              <w:right w:w="100" w:type="dxa"/>
            </w:tcMar>
            <w:shd w:fill="F5F8FA"/>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Convention on Biological Diversity</w:t>
            </w:r>
          </w:p>
        </w:tc>
        <w:tc>
          <w:tcPr>
            <w:tcW w:type="dxa" w:w="864"/>
            <w:vAlign w:val="center"/>
            <w:tcMar>
              <w:top w:w="90" w:type="dxa"/>
              <w:bottom w:w="90" w:type="dxa"/>
              <w:left w:w="100" w:type="dxa"/>
              <w:right w:w="100" w:type="dxa"/>
            </w:tcMar>
            <w:shd w:fill="FFFFFF"/>
          </w:tcPr>
          <w:p>
            <w:pPr>
              <w:spacing w:after="0" w:line="252" w:lineRule="auto"/>
            </w:pPr>
            <w:r>
              <w:rPr>
                <w:b w:val="0"/>
                <w:sz w:val="19"/>
              </w:rPr>
              <w:t>INTL</w:t>
            </w:r>
          </w:p>
        </w:tc>
        <w:tc>
          <w:tcPr>
            <w:tcW w:type="dxa" w:w="3773"/>
            <w:vAlign w:val="center"/>
            <w:tcMar>
              <w:top w:w="90" w:type="dxa"/>
              <w:bottom w:w="90" w:type="dxa"/>
              <w:left w:w="100" w:type="dxa"/>
              <w:right w:w="100" w:type="dxa"/>
            </w:tcMar>
            <w:shd w:fill="FFFFFF"/>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Nagoya Protocol</w:t>
            </w:r>
          </w:p>
        </w:tc>
        <w:tc>
          <w:tcPr>
            <w:tcW w:type="dxa" w:w="864"/>
            <w:vAlign w:val="center"/>
            <w:tcMar>
              <w:top w:w="90" w:type="dxa"/>
              <w:bottom w:w="90" w:type="dxa"/>
              <w:left w:w="100" w:type="dxa"/>
              <w:right w:w="100" w:type="dxa"/>
            </w:tcMar>
            <w:shd w:fill="F5F8FA"/>
          </w:tcPr>
          <w:p>
            <w:pPr>
              <w:spacing w:after="0" w:line="252" w:lineRule="auto"/>
            </w:pPr>
            <w:r>
              <w:rPr>
                <w:b w:val="0"/>
                <w:sz w:val="19"/>
              </w:rPr>
              <w:t>INTL</w:t>
            </w:r>
          </w:p>
        </w:tc>
        <w:tc>
          <w:tcPr>
            <w:tcW w:type="dxa" w:w="3773"/>
            <w:vAlign w:val="center"/>
            <w:tcMar>
              <w:top w:w="90" w:type="dxa"/>
              <w:bottom w:w="90" w:type="dxa"/>
              <w:left w:w="100" w:type="dxa"/>
              <w:right w:w="100" w:type="dxa"/>
            </w:tcMar>
            <w:shd w:fill="F5F8FA"/>
          </w:tcPr>
          <w:p>
            <w:pPr>
              <w:spacing w:after="0" w:line="252" w:lineRule="auto"/>
            </w:pPr>
            <w:r>
              <w:rPr>
                <w:b w:val="0"/>
                <w:sz w:val="19"/>
              </w:rPr>
              <w:t>Indexed documents</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WIPO genetic resources and associated traditional knowledge treaty</w:t>
            </w:r>
          </w:p>
        </w:tc>
        <w:tc>
          <w:tcPr>
            <w:tcW w:type="dxa" w:w="864"/>
            <w:vAlign w:val="center"/>
            <w:tcMar>
              <w:top w:w="90" w:type="dxa"/>
              <w:bottom w:w="90" w:type="dxa"/>
              <w:left w:w="100" w:type="dxa"/>
              <w:right w:w="100" w:type="dxa"/>
            </w:tcMar>
            <w:shd w:fill="FFFFFF"/>
          </w:tcPr>
          <w:p>
            <w:pPr>
              <w:spacing w:after="0" w:line="252" w:lineRule="auto"/>
            </w:pPr>
            <w:r>
              <w:rPr>
                <w:b w:val="0"/>
                <w:sz w:val="19"/>
              </w:rPr>
              <w:t>INTL</w:t>
            </w:r>
          </w:p>
        </w:tc>
        <w:tc>
          <w:tcPr>
            <w:tcW w:type="dxa" w:w="3773"/>
            <w:vAlign w:val="center"/>
            <w:tcMar>
              <w:top w:w="90" w:type="dxa"/>
              <w:bottom w:w="90" w:type="dxa"/>
              <w:left w:w="100" w:type="dxa"/>
              <w:right w:w="100" w:type="dxa"/>
            </w:tcMar>
            <w:shd w:fill="FFFFFF"/>
          </w:tcPr>
          <w:p>
            <w:pPr>
              <w:spacing w:after="0" w:line="252" w:lineRule="auto"/>
            </w:pPr>
            <w:r>
              <w:rPr>
                <w:b w:val="0"/>
                <w:sz w:val="19"/>
              </w:rPr>
              <w:t>Not indexed</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Patent Cooperation Treaty</w:t>
            </w:r>
          </w:p>
        </w:tc>
        <w:tc>
          <w:tcPr>
            <w:tcW w:type="dxa" w:w="864"/>
            <w:vAlign w:val="center"/>
            <w:tcMar>
              <w:top w:w="90" w:type="dxa"/>
              <w:bottom w:w="90" w:type="dxa"/>
              <w:left w:w="100" w:type="dxa"/>
              <w:right w:w="100" w:type="dxa"/>
            </w:tcMar>
            <w:shd w:fill="F5F8FA"/>
          </w:tcPr>
          <w:p>
            <w:pPr>
              <w:spacing w:after="0" w:line="252" w:lineRule="auto"/>
            </w:pPr>
            <w:r>
              <w:rPr>
                <w:b w:val="0"/>
                <w:sz w:val="19"/>
              </w:rPr>
              <w:t>INTL</w:t>
            </w:r>
          </w:p>
        </w:tc>
        <w:tc>
          <w:tcPr>
            <w:tcW w:type="dxa" w:w="3773"/>
            <w:vAlign w:val="center"/>
            <w:tcMar>
              <w:top w:w="90" w:type="dxa"/>
              <w:bottom w:w="90" w:type="dxa"/>
              <w:left w:w="100" w:type="dxa"/>
              <w:right w:w="100" w:type="dxa"/>
            </w:tcMar>
            <w:shd w:fill="F5F8FA"/>
          </w:tcPr>
          <w:p>
            <w:pPr>
              <w:spacing w:after="0" w:line="252" w:lineRule="auto"/>
            </w:pPr>
            <w:r>
              <w:rPr>
                <w:b w:val="0"/>
                <w:sz w:val="19"/>
              </w:rPr>
              <w:t>Not indexed</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Madrid trade mark system</w:t>
            </w:r>
          </w:p>
        </w:tc>
        <w:tc>
          <w:tcPr>
            <w:tcW w:type="dxa" w:w="864"/>
            <w:vAlign w:val="center"/>
            <w:tcMar>
              <w:top w:w="90" w:type="dxa"/>
              <w:bottom w:w="90" w:type="dxa"/>
              <w:left w:w="100" w:type="dxa"/>
              <w:right w:w="100" w:type="dxa"/>
            </w:tcMar>
            <w:shd w:fill="FFFFFF"/>
          </w:tcPr>
          <w:p>
            <w:pPr>
              <w:spacing w:after="0" w:line="252" w:lineRule="auto"/>
            </w:pPr>
            <w:r>
              <w:rPr>
                <w:b w:val="0"/>
                <w:sz w:val="19"/>
              </w:rPr>
              <w:t>INTL</w:t>
            </w:r>
          </w:p>
        </w:tc>
        <w:tc>
          <w:tcPr>
            <w:tcW w:type="dxa" w:w="3773"/>
            <w:vAlign w:val="center"/>
            <w:tcMar>
              <w:top w:w="90" w:type="dxa"/>
              <w:bottom w:w="90" w:type="dxa"/>
              <w:left w:w="100" w:type="dxa"/>
              <w:right w:w="100" w:type="dxa"/>
            </w:tcMar>
            <w:shd w:fill="FFFFFF"/>
          </w:tcPr>
          <w:p>
            <w:pPr>
              <w:spacing w:after="0" w:line="252" w:lineRule="auto"/>
            </w:pPr>
            <w:r>
              <w:rPr>
                <w:b w:val="0"/>
                <w:sz w:val="19"/>
              </w:rPr>
              <w:t>Not indexed</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Hague designs system</w:t>
            </w:r>
          </w:p>
        </w:tc>
        <w:tc>
          <w:tcPr>
            <w:tcW w:type="dxa" w:w="864"/>
            <w:vAlign w:val="center"/>
            <w:tcMar>
              <w:top w:w="90" w:type="dxa"/>
              <w:bottom w:w="90" w:type="dxa"/>
              <w:left w:w="100" w:type="dxa"/>
              <w:right w:w="100" w:type="dxa"/>
            </w:tcMar>
            <w:shd w:fill="F5F8FA"/>
          </w:tcPr>
          <w:p>
            <w:pPr>
              <w:spacing w:after="0" w:line="252" w:lineRule="auto"/>
            </w:pPr>
            <w:r>
              <w:rPr>
                <w:b w:val="0"/>
                <w:sz w:val="19"/>
              </w:rPr>
              <w:t>INTL</w:t>
            </w:r>
          </w:p>
        </w:tc>
        <w:tc>
          <w:tcPr>
            <w:tcW w:type="dxa" w:w="3773"/>
            <w:vAlign w:val="center"/>
            <w:tcMar>
              <w:top w:w="90" w:type="dxa"/>
              <w:bottom w:w="90" w:type="dxa"/>
              <w:left w:w="100" w:type="dxa"/>
              <w:right w:w="100" w:type="dxa"/>
            </w:tcMar>
            <w:shd w:fill="F5F8FA"/>
          </w:tcPr>
          <w:p>
            <w:pPr>
              <w:spacing w:after="0" w:line="252" w:lineRule="auto"/>
            </w:pPr>
            <w:r>
              <w:rPr>
                <w:b w:val="0"/>
                <w:sz w:val="19"/>
              </w:rPr>
              <w:t>Not indexed</w:t>
            </w:r>
          </w:p>
        </w:tc>
      </w:tr>
      <w:tr>
        <w:trPr>
          <w:cantSplit/>
        </w:trPr>
        <w:tc>
          <w:tcPr>
            <w:tcW w:type="dxa" w:w="5112"/>
            <w:vAlign w:val="center"/>
            <w:tcMar>
              <w:top w:w="90" w:type="dxa"/>
              <w:bottom w:w="90" w:type="dxa"/>
              <w:left w:w="100" w:type="dxa"/>
              <w:right w:w="100" w:type="dxa"/>
            </w:tcMar>
            <w:shd w:fill="FFFFFF"/>
          </w:tcPr>
          <w:p>
            <w:pPr>
              <w:spacing w:after="0" w:line="252" w:lineRule="auto"/>
            </w:pPr>
            <w:r>
              <w:rPr>
                <w:b w:val="0"/>
                <w:sz w:val="19"/>
              </w:rPr>
              <w:t>Budapest Treaty</w:t>
            </w:r>
          </w:p>
        </w:tc>
        <w:tc>
          <w:tcPr>
            <w:tcW w:type="dxa" w:w="864"/>
            <w:vAlign w:val="center"/>
            <w:tcMar>
              <w:top w:w="90" w:type="dxa"/>
              <w:bottom w:w="90" w:type="dxa"/>
              <w:left w:w="100" w:type="dxa"/>
              <w:right w:w="100" w:type="dxa"/>
            </w:tcMar>
            <w:shd w:fill="FFFFFF"/>
          </w:tcPr>
          <w:p>
            <w:pPr>
              <w:spacing w:after="0" w:line="252" w:lineRule="auto"/>
            </w:pPr>
            <w:r>
              <w:rPr>
                <w:b w:val="0"/>
                <w:sz w:val="19"/>
              </w:rPr>
              <w:t>INTL</w:t>
            </w:r>
          </w:p>
        </w:tc>
        <w:tc>
          <w:tcPr>
            <w:tcW w:type="dxa" w:w="3773"/>
            <w:vAlign w:val="center"/>
            <w:tcMar>
              <w:top w:w="90" w:type="dxa"/>
              <w:bottom w:w="90" w:type="dxa"/>
              <w:left w:w="100" w:type="dxa"/>
              <w:right w:w="100" w:type="dxa"/>
            </w:tcMar>
            <w:shd w:fill="FFFFFF"/>
          </w:tcPr>
          <w:p>
            <w:pPr>
              <w:spacing w:after="0" w:line="252" w:lineRule="auto"/>
            </w:pPr>
            <w:r>
              <w:rPr>
                <w:b w:val="0"/>
                <w:sz w:val="19"/>
              </w:rPr>
              <w:t>Not indexed</w:t>
            </w:r>
          </w:p>
        </w:tc>
      </w:tr>
      <w:tr>
        <w:trPr>
          <w:cantSplit/>
        </w:trPr>
        <w:tc>
          <w:tcPr>
            <w:tcW w:type="dxa" w:w="5112"/>
            <w:vAlign w:val="center"/>
            <w:tcMar>
              <w:top w:w="90" w:type="dxa"/>
              <w:bottom w:w="90" w:type="dxa"/>
              <w:left w:w="100" w:type="dxa"/>
              <w:right w:w="100" w:type="dxa"/>
            </w:tcMar>
            <w:shd w:fill="F5F8FA"/>
          </w:tcPr>
          <w:p>
            <w:pPr>
              <w:spacing w:after="0" w:line="252" w:lineRule="auto"/>
            </w:pPr>
            <w:r>
              <w:rPr>
                <w:b w:val="0"/>
                <w:sz w:val="19"/>
              </w:rPr>
              <w:t>TKDL prior-art search</w:t>
            </w:r>
          </w:p>
        </w:tc>
        <w:tc>
          <w:tcPr>
            <w:tcW w:type="dxa" w:w="864"/>
            <w:vAlign w:val="center"/>
            <w:tcMar>
              <w:top w:w="90" w:type="dxa"/>
              <w:bottom w:w="90" w:type="dxa"/>
              <w:left w:w="100" w:type="dxa"/>
              <w:right w:w="100" w:type="dxa"/>
            </w:tcMar>
            <w:shd w:fill="F5F8FA"/>
          </w:tcPr>
          <w:p>
            <w:pPr>
              <w:spacing w:after="0" w:line="252" w:lineRule="auto"/>
            </w:pPr>
            <w:r>
              <w:rPr>
                <w:b w:val="0"/>
                <w:sz w:val="19"/>
              </w:rPr>
              <w:t>IN</w:t>
            </w:r>
          </w:p>
        </w:tc>
        <w:tc>
          <w:tcPr>
            <w:tcW w:type="dxa" w:w="3773"/>
            <w:vAlign w:val="center"/>
            <w:tcMar>
              <w:top w:w="90" w:type="dxa"/>
              <w:bottom w:w="90" w:type="dxa"/>
              <w:left w:w="100" w:type="dxa"/>
              <w:right w:w="100" w:type="dxa"/>
            </w:tcMar>
            <w:shd w:fill="F5F8FA"/>
          </w:tcPr>
          <w:p>
            <w:pPr>
              <w:spacing w:after="0" w:line="252" w:lineRule="auto"/>
            </w:pPr>
            <w:r>
              <w:rPr>
                <w:b w:val="0"/>
                <w:sz w:val="19"/>
              </w:rPr>
              <w:t>Query pack only</w:t>
            </w:r>
          </w:p>
        </w:tc>
      </w:tr>
    </w:tbl>
    <w:p>
      <w:pPr>
        <w:spacing w:after="20" w:before="0" w:line="240" w:lineRule="auto"/>
      </w:pPr>
      <w:r>
        <w:rPr>
          <w:sz w:val="2"/>
        </w:rPr>
      </w:r>
    </w:p>
    <w:p>
      <w:bookmarkStart w:id="5" w:name="section_5"/>
      <w:pPr>
        <w:pStyle w:val="Heading1"/>
      </w:pPr>
      <w:r>
        <w:t>6 History privacy and integrity</w:t>
      </w:r>
      <w:bookmarkEnd w:id="5"/>
    </w:p>
    <w:p>
      <w:pPr>
        <w:pStyle w:val="Heading2"/>
      </w:pPr>
      <w:r>
        <w:t>Shared workspace and persistence</w:t>
      </w:r>
    </w:p>
    <w:p>
      <w:r>
        <w:t>All authorized demo users share the configured shared-demo workspace. A constant-time comparison checks X-Demo-Key for history operations. A missing server key disables history; a wrong key is rejected. Queries without a conversation can run without this key, but reading saved results and exporting real dossiers require workspace access.</w:t>
      </w:r>
    </w:p>
    <w:p>
      <w:r>
        <w:t>Conversations, user and assistant messages, saved results and ordered case references are stored in PostgreSQL. Browser session storage holds the access key and active conversation ID. Local storage retains UI preferences, not shared history, case results or formulation drafts. Reload therefore resumes server records instead of replaying fabricated local responses.</w:t>
      </w:r>
    </w:p>
    <w:p>
      <w:pPr>
        <w:pStyle w:val="Heading2"/>
      </w:pPr>
      <w:r>
        <w:t>Scrubbing and retention</w:t>
      </w:r>
    </w:p>
    <w:p>
      <w:r>
        <w:t>Before saving, the structured-identifier scrubber removes recognized email, phone, Aadhaar, PAN and GSTIN values from user content and result payloads. Server-owned legal evidence remains verbatim to preserve citation integrity. Arbitrary names and free prose are not guaranteed anonymized, and this is not a claim of regulatory privacy compliance.</w:t>
      </w:r>
    </w:p>
    <w:p>
      <w:r>
        <w:t>Messages and saved results expire after 30 days independently. Conversation expiry is based on 30 days of inactivity. Resuming a conversation does not give old messages a new lifetime. Expired content is excluded on reads and deleted by cleanup; a live hourly maintenance task also purges it. Foreign-key cascades remove dependent references when results or conversations are deleted.</w:t>
      </w:r>
    </w:p>
    <w:p>
      <w:r>
        <w:t>Recent follow-up context is bounded to six turns and about 2,400 characters. It supplies conversational meaning, not legal evidence. A weather question after a legal answer must still be out of scope. Every substantive follow-up claim must cite the pinned corpus again.</w:t>
      </w:r>
    </w:p>
    <w:p>
      <w:pPr>
        <w:pStyle w:val="Heading2"/>
      </w:pPr>
      <w:r>
        <w:t>Audit chain and saved-result integrity</w:t>
      </w:r>
    </w:p>
    <w:p>
      <w:r>
        <w:t>New audit entries hold hashes and provenance rather than full conversation/result payloads. Saved results are kept separately so they can expire without rewriting the append-only chain. Historical pre-migration audit payloads are retained and are not silently rewritten; the new 30-day history policy does not retroactively erase those old audit records.</w:t>
      </w:r>
    </w:p>
    <w:p>
      <w:r>
        <w:t>A receipt identifies the request, source/version references and audit hash. Verification checks the hash chain, Merkle membership and whether referenced spans belong to the corpus. Saved-result reads also compare the expiring copy with its audit hash; tampering produces an integrity error. A valid receipt proves traceability and consistency of those records. It does not prove that a legal interpretation is correct or that a source is current.</w:t>
      </w:r>
    </w:p>
    <w:p>
      <w:pPr>
        <w:pStyle w:val="Heading2"/>
      </w:pPr>
      <w:r>
        <w:t>Database responsibilities</w:t>
      </w:r>
    </w:p>
    <w:p>
      <w:r>
        <w:t>The owner provisions roles and applies Alembic migrations. pramana_app handles runtime operations; ingest_rw handles ingestion and promotion. This separation supports evidence protection, but the local backend still receives administrator configuration for startup provisioning. The Compose environment is a local demo, not a complete hardened multi-tenant deployment.</w:t>
      </w:r>
    </w:p>
    <w:p>
      <w:bookmarkStart w:id="6" w:name="section_6"/>
      <w:pPr>
        <w:pStyle w:val="Heading1"/>
      </w:pPr>
      <w:r>
        <w:t>7 Frontend and document exports</w:t>
      </w:r>
      <w:bookmarkEnd w:id="6"/>
    </w:p>
    <w:p>
      <w:pPr>
        <w:pStyle w:val="Heading2"/>
      </w:pPr>
      <w:r>
        <w:t>Pages and state</w:t>
      </w:r>
    </w:p>
    <w:p>
      <w:r>
        <w:t>Ask Sahayak displays stage progress, conversation turns and answer/refusal cards. Classify runs the adaptive wizard. Intellectual Property, Access and Benefit Sharing and Traditional Knowledge Radar submit typed requests to their actual backend tools. Cases reads server case references and exports stored results. Evidence displays source coverage and update status. Evaluation displays the corpus version, method and measured metrics; unmeasured faithfulness remains null.</w:t>
      </w:r>
    </w:p>
    <w:p>
      <w:r>
        <w:t>Interface language and answer language are separate settings. The interface provides localized strings for English, Hindi, Tamil, Bengali and Marathi. Answer contracts allow additional language codes; that does not demonstrate tested fluency for every code. Local Qwen translation and a round-trip heuristic can downgrade doubtful wording, while source quotations stay original. Full multilingual legal-answer accuracy has not been established.</w:t>
      </w:r>
    </w:p>
    <w:p>
      <w:pPr>
        <w:pStyle w:val="Heading2"/>
      </w:pPr>
      <w:r>
        <w:t>Production source viewer</w:t>
      </w:r>
    </w:p>
    <w:p>
      <w:r>
        <w:t>PDF.js loads the version-pinned PDF, renders the cited physical page, scales its actual server highlight rectangles and draws the highlight. The worker is a local production asset rather than a CDN dependency. Nginx serves mjs as JavaScript and returns 404 for a missing asset instead of the HTML application shell. The source drawer uses a portal to avoid clipping by its parent layout.</w:t>
      </w:r>
    </w:p>
    <w:p>
      <w:r>
        <w:t>Desktop navigation stays fixed while the main pane scrolls. At smaller widths the controls wrap, the date stays readable and mobile navigation is dismissible. The mobile composer stays below the welcome content. PWA asset caching supports the shell and bundled worker; the app still needs the local API and models for fresh answers. It is not a fully offline legal knowledge service.</w:t>
      </w:r>
    </w:p>
    <w:p>
      <w:pPr>
        <w:keepNext/>
      </w:pPr>
      <w:r>
        <w:drawing>
          <wp:inline xmlns:a="http://schemas.openxmlformats.org/drawingml/2006/main" xmlns:pic="http://schemas.openxmlformats.org/drawingml/2006/picture">
            <wp:extent cx="6172200" cy="3471862"/>
            <wp:docPr id="1" name="Picture 1" descr="Production PRAMANA source drawer showing the Patents Act PDF on physical page 9 with the cited section 3 introductory text highlighted."/>
            <wp:cNvGraphicFramePr>
              <a:graphicFrameLocks noChangeAspect="1"/>
            </wp:cNvGraphicFramePr>
            <a:graphic>
              <a:graphicData uri="http://schemas.openxmlformats.org/drawingml/2006/picture">
                <pic:pic>
                  <pic:nvPicPr>
                    <pic:cNvPr id="0" name="production-cited-pdf.png"/>
                    <pic:cNvPicPr/>
                  </pic:nvPicPr>
                  <pic:blipFill>
                    <a:blip r:embed="rId16"/>
                    <a:stretch>
                      <a:fillRect/>
                    </a:stretch>
                  </pic:blipFill>
                  <pic:spPr>
                    <a:xfrm>
                      <a:off x="0" y="0"/>
                      <a:ext cx="6172200" cy="3471862"/>
                    </a:xfrm>
                    <a:prstGeom prst="rect"/>
                  </pic:spPr>
                </pic:pic>
              </a:graphicData>
            </a:graphic>
          </wp:inline>
        </w:drawing>
      </w:r>
    </w:p>
    <w:p>
      <w:pPr>
        <w:spacing w:after="240"/>
      </w:pPr>
      <w:r>
        <w:rPr>
          <w:sz w:val="18"/>
        </w:rPr>
        <w:t>Production viewer checked on 4 October 2026 showing the actual cited PDF page and highlighted stored source text.</w:t>
      </w:r>
    </w:p>
    <w:p>
      <w:pPr>
        <w:pStyle w:val="Heading2"/>
      </w:pPr>
      <w:r>
        <w:t>Dossier export behavior</w:t>
      </w:r>
    </w:p>
    <w:p>
      <w:r>
        <w:t>A dossier reads the actual stored results selected in the case file. It does not regenerate answers, search again or quietly translate the output. Receipt identifiers, evidence text and missing/expired items are preserved. Automatic language means preserve saved/source text; non-English translation requests are rejected rather than relabeling English as another language.</w:t>
      </w:r>
    </w:p>
    <w:p>
      <w:r>
        <w:t>PDF export works for characters supported by its built-in font. Unsupported text gives pdf_font_unavailable with a recommendation to use DOCX or Markdown. Test the downloaded file's actual contents, not only its filename. The solution guide you are reading is a separate project document, not an application-generated compliance dossier.</w:t>
      </w:r>
    </w:p>
    <w:p>
      <w:bookmarkStart w:id="7" w:name="section_7"/>
      <w:pPr>
        <w:pStyle w:val="Heading1"/>
      </w:pPr>
      <w:r>
        <w:t>8 Installation and operations</w:t>
      </w:r>
      <w:bookmarkEnd w:id="7"/>
    </w:p>
    <w:p>
      <w:pPr>
        <w:pStyle w:val="Heading2"/>
      </w:pPr>
      <w:r>
        <w:t>Start the local stack</w:t>
      </w:r>
    </w:p>
    <w:p>
      <w:r>
        <w:t>Run these commands from the repository root. Docker Desktop must be running. Native Ollama must be installed and started on the Mac. Network access is needed for initial package/model downloads and later official-source checks; question inference stays local.</w:t>
      </w:r>
    </w:p>
    <w:p>
      <w:pPr>
        <w:pStyle w:val="Code"/>
        <w:keepNext/>
      </w:pPr>
      <w:r>
        <w:t>ollama pull qwen3:4b</w:t>
      </w:r>
    </w:p>
    <w:p>
      <w:pPr>
        <w:pStyle w:val="Code"/>
        <w:keepNext/>
      </w:pPr>
      <w:r>
        <w:t>ollama pull qwen3-embedding:0.6b</w:t>
      </w:r>
    </w:p>
    <w:p>
      <w:pPr>
        <w:pStyle w:val="Code"/>
        <w:keepNext w:val="0"/>
      </w:pPr>
      <w:r>
        <w:t>ollama list</w:t>
      </w:r>
    </w:p>
    <w:p>
      <w:r>
        <w:t>If .env does not exist, copy .env.example to .env. Preserve an existing .env rather than overwriting its credentials. Set distinct random POSTGRES_PASSWORD, APP_DB_PASSWORD, INGEST_DB_PASSWORD and DEMO_KEY values. These are application/database credentials, not model-provider API keys. Do not paste them into tickets, screenshots or logs.</w:t>
      </w:r>
    </w:p>
    <w:p>
      <w:r>
        <w:t>Confirm the following settings:</w:t>
      </w:r>
    </w:p>
    <w:p>
      <w:pPr>
        <w:pStyle w:val="Code"/>
        <w:keepNext/>
      </w:pPr>
      <w:r>
        <w:t>LLM_MODEL=qwen3:4b</w:t>
      </w:r>
    </w:p>
    <w:p>
      <w:pPr>
        <w:pStyle w:val="Code"/>
        <w:keepNext/>
      </w:pPr>
      <w:r>
        <w:t>EMBED_MODEL=qwen3-embedding:0.6b</w:t>
      </w:r>
    </w:p>
    <w:p>
      <w:pPr>
        <w:pStyle w:val="Code"/>
        <w:keepNext/>
      </w:pPr>
      <w:r>
        <w:t>OLLAMA_CONTEXT_TOKENS=8192</w:t>
      </w:r>
    </w:p>
    <w:p>
      <w:pPr>
        <w:pStyle w:val="Code"/>
        <w:keepNext/>
      </w:pPr>
      <w:r>
        <w:t>RERANK=0</w:t>
      </w:r>
    </w:p>
    <w:p>
      <w:pPr>
        <w:pStyle w:val="Code"/>
        <w:keepNext/>
      </w:pPr>
      <w:r>
        <w:t>MOCK_MODE=0</w:t>
      </w:r>
    </w:p>
    <w:p>
      <w:pPr>
        <w:pStyle w:val="Code"/>
        <w:keepNext/>
      </w:pPr>
      <w:r>
        <w:t>VITE_API_MODE=live</w:t>
      </w:r>
    </w:p>
    <w:p>
      <w:pPr>
        <w:pStyle w:val="Code"/>
        <w:keepNext/>
      </w:pPr>
      <w:r>
        <w:t>MEMORY_BUDGET_GB=12</w:t>
      </w:r>
    </w:p>
    <w:p>
      <w:pPr>
        <w:pStyle w:val="Code"/>
        <w:keepNext/>
      </w:pPr>
      <w:r>
        <w:t>WORKSPACE_ID=shared-demo</w:t>
      </w:r>
    </w:p>
    <w:p>
      <w:pPr>
        <w:pStyle w:val="Code"/>
        <w:keepNext/>
      </w:pPr>
      <w:r>
        <w:t>HISTORY_RETENTION_DAYS=30</w:t>
      </w:r>
    </w:p>
    <w:p>
      <w:pPr>
        <w:pStyle w:val="Code"/>
        <w:keepNext w:val="0"/>
      </w:pPr>
      <w:r>
        <w:t>REQUEST_DEADLINE_S=180</w:t>
      </w:r>
    </w:p>
    <w:p>
      <w:r>
        <w:t xml:space="preserve">For the Ollama Mac application, set parallel/model limits with launchctl and restart Ollama. The </w:t>
      </w:r>
      <w:hyperlink r:id="rId17">
        <w:r>
          <w:rPr>
            <w:color w:val="235A78"/>
            <w:u w:val="single"/>
          </w:rPr>
          <w:t>official Ollama FAQ</w:t>
        </w:r>
      </w:hyperlink>
      <w:r>
        <w:t xml:space="preserve"> explains the macOS environment mechanism. These settings apply to native Ollama, not just the backend .env.</w:t>
      </w:r>
    </w:p>
    <w:p>
      <w:pPr>
        <w:pStyle w:val="Code"/>
        <w:keepNext/>
      </w:pPr>
      <w:r>
        <w:t>launchctl setenv OLLAMA_NUM_PARALLEL 1</w:t>
      </w:r>
    </w:p>
    <w:p>
      <w:pPr>
        <w:pStyle w:val="Code"/>
        <w:keepNext w:val="0"/>
      </w:pPr>
      <w:r>
        <w:t>launchctl setenv OLLAMA_MAX_LOADED_MODELS 2</w:t>
      </w:r>
    </w:p>
    <w:p>
      <w:r>
        <w:t>The host development URL is normally http://127.0.0.1:11434. Compose overrides the backend URL to host.docker.internal. Keep unrelated large models unloaded during acceptance measurements. Then start:</w:t>
      </w:r>
    </w:p>
    <w:p>
      <w:pPr>
        <w:pStyle w:val="Code"/>
        <w:keepNext/>
      </w:pPr>
      <w:r>
        <w:t>docker compose up --build -d</w:t>
      </w:r>
    </w:p>
    <w:p>
      <w:pPr>
        <w:pStyle w:val="Code"/>
        <w:keepNext/>
      </w:pPr>
      <w:r>
        <w:t>docker compose ps</w:t>
      </w:r>
    </w:p>
    <w:p>
      <w:pPr>
        <w:pStyle w:val="Code"/>
        <w:keepNext w:val="0"/>
      </w:pPr>
      <w:r>
        <w:t>curl --fail http://localhost:8080/v1/health</w:t>
      </w:r>
    </w:p>
    <w:p>
      <w:r>
        <w:t>Open http://localhost:8080 and confirm Live API. Under Saved conversations, enter the configured DEMO_KEY. Health should identify the exact model names and actual corpus label. Model readiness means the installed model is available; a model can unload after keep-alive expires and still be available for the next request. corpus_embedding_compatible=false currently explains why live dense search is disabled.</w:t>
      </w:r>
    </w:p>
    <w:p>
      <w:r>
        <w:t>The backend provisions roles, runs Alembic migrations and warms the local NLI verifier before accepting requests. Its model cache persists in a Docker volume. First start can take longer because of downloads. A fresh installation has no usable live corpus until ingestion, review, approval and promotion have been completed; do not seed fake evidence to make it appear ready.</w:t>
      </w:r>
    </w:p>
    <w:p>
      <w:pPr>
        <w:pStyle w:val="Heading2"/>
      </w:pPr>
      <w:r>
        <w:t>Normal maintenance</w:t>
      </w:r>
    </w:p>
    <w:p>
      <w:pPr>
        <w:pStyle w:val="Code"/>
        <w:keepNext/>
      </w:pPr>
      <w:r>
        <w:t>docker compose logs --tail=100 backend</w:t>
      </w:r>
    </w:p>
    <w:p>
      <w:pPr>
        <w:pStyle w:val="Code"/>
        <w:keepNext/>
      </w:pPr>
      <w:r>
        <w:t>docker compose logs --tail=100 source-monitor</w:t>
      </w:r>
    </w:p>
    <w:p>
      <w:pPr>
        <w:pStyle w:val="Code"/>
        <w:keepNext w:val="0"/>
      </w:pPr>
      <w:r>
        <w:t>docker compose down</w:t>
      </w:r>
    </w:p>
    <w:p>
      <w:r>
        <w:t>Down stops services while keeping the named database and model-cache volumes. Do not add --volumes when you intend to preserve data. A backend test or ingestion maintenance command temporarily stops the API and restores it in an exit trap; perform it when users are not actively querying. The prior live corpus remains the live version until promotion, but the API is unavailable during that maintenance period.</w:t>
      </w:r>
    </w:p>
    <w:p>
      <w:pPr>
        <w:pStyle w:val="Heading2"/>
      </w:pPr>
      <w:r>
        <w:t>Staging commands</w:t>
      </w:r>
    </w:p>
    <w:p>
      <w:r>
        <w:t>These commands change corpus state and can take substantial time. Use a real passing report and the actual reviewer identity; placeholder values are instructions, not approval.</w:t>
      </w:r>
    </w:p>
    <w:p>
      <w:pPr>
        <w:pStyle w:val="Code"/>
        <w:keepNext/>
      </w:pPr>
      <w:r>
        <w:t>make ingest</w:t>
      </w:r>
    </w:p>
    <w:p>
      <w:pPr>
        <w:pStyle w:val="Code"/>
        <w:keepNext/>
      </w:pPr>
      <w:r>
        <w:t>make review-stage V=&lt;staged-version&gt;</w:t>
      </w:r>
    </w:p>
    <w:p>
      <w:pPr>
        <w:pStyle w:val="Code"/>
        <w:keepNext/>
      </w:pPr>
      <w:r>
        <w:t>make approve-stage V=&lt;staged-version&gt; \</w:t>
      </w:r>
    </w:p>
    <w:p>
      <w:pPr>
        <w:pStyle w:val="Code"/>
        <w:keepNext/>
      </w:pPr>
      <w:r>
        <w:t xml:space="preserve">  REVIEWER='&lt;actual reviewer name&gt;' REPORT_HASH=&lt;passing report hash&gt;</w:t>
      </w:r>
    </w:p>
    <w:p>
      <w:pPr>
        <w:pStyle w:val="Code"/>
        <w:keepNext/>
      </w:pPr>
      <w:r>
        <w:t>make promote V=&lt;staged-version&gt;</w:t>
      </w:r>
    </w:p>
    <w:p>
      <w:pPr>
        <w:pStyle w:val="Code"/>
        <w:keepNext/>
      </w:pPr>
      <w:r>
        <w:t>make check-sources</w:t>
      </w:r>
    </w:p>
    <w:p>
      <w:pPr>
        <w:pStyle w:val="Code"/>
        <w:keepNext/>
      </w:pPr>
      <w:r>
        <w:t>make stage-source-update \</w:t>
      </w:r>
    </w:p>
    <w:p>
      <w:pPr>
        <w:pStyle w:val="Code"/>
        <w:keepNext w:val="0"/>
      </w:pPr>
      <w:r>
        <w:t xml:space="preserve">  MANIFEST=/workspace/corpus/raw/source-updates/&lt;timestamp&gt;/manifest.yaml</w:t>
      </w:r>
    </w:p>
    <w:p>
      <w:r>
        <w:t>To resume an interrupted stage, use make resume-ingest V=&lt;staged-version&gt;. SOURCE can restrict resumption to comma-separated source IDs. Resume does not replace already committed chunks after a parser change; rebuild a fresh stage or use a reviewed repair procedure. Do not overwrite or manually patch live evidence. Quality review can write the latest evaluation artifact, so check its corpus_version before interpreting the Evaluation page.</w:t>
      </w:r>
    </w:p>
    <w:p>
      <w:pPr>
        <w:pStyle w:val="Heading2"/>
      </w:pPr>
      <w:r>
        <w:t>Configure Sarvam read aloud</w:t>
      </w:r>
    </w:p>
    <w:p>
      <w:r>
        <w:t>Set SARVAM_API_KEY in the root .env using your existing provider key. Keep it outside Git, chat and frontend VITE variables. The default model is bulbul:v3 and the default speaker is shubh. SARVAM_TTS_TIMEOUT_S defaults to 60 seconds. Recreate the backend after changing its environment:</w:t>
      </w:r>
    </w:p>
    <w:p>
      <w:pPr>
        <w:pStyle w:val="Code"/>
        <w:keepNext w:val="0"/>
      </w:pPr>
      <w:r>
        <w:t>docker compose up -d --force-recreate backend</w:t>
      </w:r>
    </w:p>
    <w:p>
      <w:r>
        <w:t>A missing key returns HTTP 503 sarvam_not_configured. Rejected credentials return sarvam_auth_failed, provider rate limits return 429, and timeout/network/invalid-audio errors are explicit. ASR stays unavailable. The fixture UI intentionally does not generate speech audio.</w:t>
      </w:r>
    </w:p>
    <w:p>
      <w:bookmarkStart w:id="8" w:name="section_8"/>
      <w:pPr>
        <w:pStyle w:val="Heading1"/>
      </w:pPr>
      <w:r>
        <w:t>9 Automated testing</w:t>
      </w:r>
      <w:bookmarkEnd w:id="8"/>
    </w:p>
    <w:p>
      <w:pPr>
        <w:pStyle w:val="Heading2"/>
      </w:pPr>
      <w:r>
        <w:t>Prepare the test tools</w:t>
      </w:r>
    </w:p>
    <w:p>
      <w:r>
        <w:t>Docker runs the Python backend suite and its database invariants. For frontend tests, install the lockfile dependencies with npm --prefix frontend ci. Install the Playwright Chromium browser if this machine has not run the browser suite before. Use a host Python 3.12 development environment for the live acceptance scripts:</w:t>
      </w:r>
    </w:p>
    <w:p>
      <w:pPr>
        <w:pStyle w:val="Code"/>
        <w:keepNext/>
      </w:pPr>
      <w:r>
        <w:t>make install PYTHON=python3.12</w:t>
      </w:r>
    </w:p>
    <w:p>
      <w:pPr>
        <w:pStyle w:val="Code"/>
        <w:keepNext/>
      </w:pPr>
      <w:r>
        <w:t>npm --prefix frontend ci</w:t>
      </w:r>
    </w:p>
    <w:p>
      <w:pPr>
        <w:pStyle w:val="Code"/>
        <w:keepNext/>
      </w:pPr>
      <w:r>
        <w:t>cd frontend</w:t>
      </w:r>
    </w:p>
    <w:p>
      <w:pPr>
        <w:pStyle w:val="Code"/>
        <w:keepNext/>
      </w:pPr>
      <w:r>
        <w:t>npx playwright install chromium</w:t>
      </w:r>
    </w:p>
    <w:p>
      <w:pPr>
        <w:pStyle w:val="Code"/>
        <w:keepNext w:val="0"/>
      </w:pPr>
      <w:r>
        <w:t>cd ..</w:t>
      </w:r>
    </w:p>
    <w:p>
      <w:r>
        <w:t>The host environment needs the local .env database URLs when it directly accesses PostgreSQL. Do not print those URLs because they contain passwords. The Docker configuration injects container-specific URLs. The HTTP acceptance scripts read the workspace key from .env without writing it to their output.</w:t>
      </w:r>
    </w:p>
    <w:p>
      <w:pPr>
        <w:pStyle w:val="Heading2"/>
      </w:pPr>
      <w:r>
        <w:t>Run checks in this order</w:t>
      </w:r>
    </w:p>
    <w:p>
      <w:r>
        <w:t>Run maintenance first, wait for API health, then run live acceptance and browser tests. Do not run the fixture and live browser suites simultaneously because they share Playwright output directories. Do not run another warmed verifier beside the API in its 3 GiB container.</w:t>
      </w:r>
    </w:p>
    <w:p>
      <w:pPr>
        <w:pStyle w:val="Code"/>
        <w:keepNext/>
      </w:pPr>
      <w:r>
        <w:t>make test</w:t>
      </w:r>
    </w:p>
    <w:p>
      <w:pPr>
        <w:pStyle w:val="Code"/>
        <w:keepNext/>
      </w:pPr>
      <w:r>
        <w:t>make lint</w:t>
      </w:r>
    </w:p>
    <w:p>
      <w:pPr>
        <w:pStyle w:val="Code"/>
        <w:keepNext/>
      </w:pPr>
      <w:r>
        <w:t>make typecheck</w:t>
      </w:r>
    </w:p>
    <w:p>
      <w:pPr>
        <w:pStyle w:val="Code"/>
        <w:keepNext/>
      </w:pPr>
      <w:r>
        <w:t>npm --prefix frontend test</w:t>
      </w:r>
    </w:p>
    <w:p>
      <w:pPr>
        <w:pStyle w:val="Code"/>
        <w:keepNext/>
      </w:pPr>
      <w:r>
        <w:t>npm --prefix frontend run lint</w:t>
      </w:r>
    </w:p>
    <w:p>
      <w:pPr>
        <w:pStyle w:val="Code"/>
        <w:keepNext/>
      </w:pPr>
      <w:r>
        <w:t>npm --prefix frontend run build</w:t>
      </w:r>
    </w:p>
    <w:p>
      <w:pPr>
        <w:pStyle w:val="Code"/>
        <w:keepNext/>
      </w:pPr>
      <w:r>
        <w:t>npm --prefix frontend run test:e2e</w:t>
      </w:r>
    </w:p>
    <w:p>
      <w:pPr>
        <w:pStyle w:val="Code"/>
        <w:keepNext/>
      </w:pPr>
      <w:r>
        <w:t>curl --fail http://localhost:8080/v1/health</w:t>
      </w:r>
    </w:p>
    <w:p>
      <w:pPr>
        <w:pStyle w:val="Code"/>
        <w:keepNext/>
      </w:pPr>
      <w:r>
        <w:t>.venv/bin/python scripts/check_live.py</w:t>
      </w:r>
    </w:p>
    <w:p>
      <w:pPr>
        <w:pStyle w:val="Code"/>
        <w:keepNext w:val="0"/>
      </w:pPr>
      <w:r>
        <w:t>.venv/bin/python scripts/run-browser-tests.py</w:t>
      </w:r>
    </w:p>
    <w:p>
      <w:r>
        <w:t>Make test runs pytest in an isolated maintenance container with MOCK_MODE=1 for HTTP fixtures, while real database invariants still exercise the test database connection and corpus. It stops/restores the API to avoid duplicate verifier memory. Fixture UI tests run a separate Vite mock server; they are useful for deterministic layouts and interactions but do not demonstrate local synthesis. The production browser script uses port 8080 and the real backend.</w:t>
      </w:r>
    </w:p>
    <w:p>
      <w:r>
        <w:t>check_live.py creates a real conversation, asks the explicit section 3(p) query, requires a verified claim, checks receipt proofs and saved-result equality, adds a case reference and checks Markdown export/resume. It also records a follow-up, broad question and refusals. It retains its labelled acceptance conversation for the subsequent viewer test. Repeated runs create real shared demo history; delete only those test conversations after review.</w:t>
      </w:r>
    </w:p>
    <w:p>
      <w:r>
        <w:t>The production browser suite checks saved-answer reload and PDF highlight/worker, history/case/export/delete, four classification groups, mobile layout, and actual ABS/patent/TK/coverage/evaluation routes. The PDF test inspects canvas highlight pixels and requests for a bundled asset, rather than assuming that a green UI badge means the PDF rendered.</w:t>
      </w:r>
    </w:p>
    <w:p>
      <w:pPr>
        <w:pStyle w:val="Heading2"/>
      </w:pPr>
      <w:r>
        <w:t>Map tests to implementation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88"/>
        <w:gridCol w:w="3413"/>
      </w:tblGrid>
      <w:tr>
        <w:trPr>
          <w:tblHeader/>
          <w:cantSplit/>
        </w:trPr>
        <w:tc>
          <w:tcPr>
            <w:tcW w:type="dxa" w:w="2448"/>
            <w:vAlign w:val="center"/>
            <w:tcMar>
              <w:top w:w="90" w:type="dxa"/>
              <w:bottom w:w="90" w:type="dxa"/>
              <w:left w:w="100" w:type="dxa"/>
              <w:right w:w="100" w:type="dxa"/>
            </w:tcMar>
            <w:shd w:fill="DBEAF2"/>
          </w:tcPr>
          <w:p>
            <w:pPr>
              <w:spacing w:after="0" w:line="252" w:lineRule="auto"/>
            </w:pPr>
            <w:r>
              <w:rPr>
                <w:b/>
                <w:sz w:val="19"/>
              </w:rPr>
              <w:t>Area</w:t>
            </w:r>
          </w:p>
        </w:tc>
        <w:tc>
          <w:tcPr>
            <w:tcW w:type="dxa" w:w="3888"/>
            <w:vAlign w:val="center"/>
            <w:tcMar>
              <w:top w:w="90" w:type="dxa"/>
              <w:bottom w:w="90" w:type="dxa"/>
              <w:left w:w="100" w:type="dxa"/>
              <w:right w:w="100" w:type="dxa"/>
            </w:tcMar>
            <w:shd w:fill="DBEAF2"/>
          </w:tcPr>
          <w:p>
            <w:pPr>
              <w:spacing w:after="0" w:line="252" w:lineRule="auto"/>
            </w:pPr>
            <w:r>
              <w:rPr>
                <w:b/>
                <w:sz w:val="19"/>
              </w:rPr>
              <w:t>Main automated coverage</w:t>
            </w:r>
          </w:p>
        </w:tc>
        <w:tc>
          <w:tcPr>
            <w:tcW w:type="dxa" w:w="3413"/>
            <w:vAlign w:val="center"/>
            <w:tcMar>
              <w:top w:w="90" w:type="dxa"/>
              <w:bottom w:w="90" w:type="dxa"/>
              <w:left w:w="100" w:type="dxa"/>
              <w:right w:w="100" w:type="dxa"/>
            </w:tcMar>
            <w:shd w:fill="DBEAF2"/>
          </w:tcPr>
          <w:p>
            <w:pPr>
              <w:spacing w:after="0" w:line="252" w:lineRule="auto"/>
            </w:pPr>
            <w:r>
              <w:rPr>
                <w:b/>
                <w:sz w:val="19"/>
              </w:rPr>
              <w:t>Risk addressed</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Models and startup</w:t>
            </w:r>
          </w:p>
        </w:tc>
        <w:tc>
          <w:tcPr>
            <w:tcW w:type="dxa" w:w="3888"/>
            <w:vAlign w:val="center"/>
            <w:tcMar>
              <w:top w:w="90" w:type="dxa"/>
              <w:bottom w:w="90" w:type="dxa"/>
              <w:left w:w="100" w:type="dxa"/>
              <w:right w:w="100" w:type="dxa"/>
            </w:tcMar>
            <w:shd w:fill="FFFFFF"/>
          </w:tcPr>
          <w:p>
            <w:pPr>
              <w:spacing w:after="0" w:line="252" w:lineRule="auto"/>
            </w:pPr>
            <w:r>
              <w:rPr>
                <w:b w:val="0"/>
                <w:sz w:val="19"/>
              </w:rPr>
              <w:t>test_ollama_llm test_embed test_startup test_sarvam_tts</w:t>
            </w:r>
          </w:p>
        </w:tc>
        <w:tc>
          <w:tcPr>
            <w:tcW w:type="dxa" w:w="3413"/>
            <w:vAlign w:val="center"/>
            <w:tcMar>
              <w:top w:w="90" w:type="dxa"/>
              <w:bottom w:w="90" w:type="dxa"/>
              <w:left w:w="100" w:type="dxa"/>
              <w:right w:w="100" w:type="dxa"/>
            </w:tcMar>
            <w:shd w:fill="FFFFFF"/>
          </w:tcPr>
          <w:p>
            <w:pPr>
              <w:spacing w:after="0" w:line="252" w:lineRule="auto"/>
            </w:pPr>
            <w:r>
              <w:rPr>
                <w:b w:val="0"/>
                <w:sz w:val="19"/>
              </w:rPr>
              <w:t>Wrong model remote endpoint invalid JSON unavailable local services and speech failures</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Routing and evidence</w:t>
            </w:r>
          </w:p>
        </w:tc>
        <w:tc>
          <w:tcPr>
            <w:tcW w:type="dxa" w:w="3888"/>
            <w:vAlign w:val="center"/>
            <w:tcMar>
              <w:top w:w="90" w:type="dxa"/>
              <w:bottom w:w="90" w:type="dxa"/>
              <w:left w:w="100" w:type="dxa"/>
              <w:right w:w="100" w:type="dxa"/>
            </w:tcMar>
            <w:shd w:fill="F5F8FA"/>
          </w:tcPr>
          <w:p>
            <w:pPr>
              <w:spacing w:after="0" w:line="252" w:lineRule="auto"/>
            </w:pPr>
            <w:r>
              <w:rPr>
                <w:b w:val="0"/>
                <w:sz w:val="19"/>
              </w:rPr>
              <w:t>test_router test_coverage test_keyword test_repo_filters test_legal_graph</w:t>
            </w:r>
          </w:p>
        </w:tc>
        <w:tc>
          <w:tcPr>
            <w:tcW w:type="dxa" w:w="3413"/>
            <w:vAlign w:val="center"/>
            <w:tcMar>
              <w:top w:w="90" w:type="dxa"/>
              <w:bottom w:w="90" w:type="dxa"/>
              <w:left w:w="100" w:type="dxa"/>
              <w:right w:w="100" w:type="dxa"/>
            </w:tcMar>
            <w:shd w:fill="F5F8FA"/>
          </w:tcPr>
          <w:p>
            <w:pPr>
              <w:spacing w:after="0" w:line="252" w:lineRule="auto"/>
            </w:pPr>
            <w:r>
              <w:rPr>
                <w:b w:val="0"/>
                <w:sz w:val="19"/>
              </w:rPr>
              <w:t>Topic misses unrelated evidence incompatible vectors and missing context</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Claims and translation</w:t>
            </w:r>
          </w:p>
        </w:tc>
        <w:tc>
          <w:tcPr>
            <w:tcW w:type="dxa" w:w="3888"/>
            <w:vAlign w:val="center"/>
            <w:tcMar>
              <w:top w:w="90" w:type="dxa"/>
              <w:bottom w:w="90" w:type="dxa"/>
              <w:left w:w="100" w:type="dxa"/>
              <w:right w:w="100" w:type="dxa"/>
            </w:tcMar>
            <w:shd w:fill="FFFFFF"/>
          </w:tcPr>
          <w:p>
            <w:pPr>
              <w:spacing w:after="0" w:line="252" w:lineRule="auto"/>
            </w:pPr>
            <w:r>
              <w:rPr>
                <w:b w:val="0"/>
                <w:sz w:val="19"/>
              </w:rPr>
              <w:t>test_verify test_guards test_generation_prompts test_translation test_confidence</w:t>
            </w:r>
          </w:p>
        </w:tc>
        <w:tc>
          <w:tcPr>
            <w:tcW w:type="dxa" w:w="3413"/>
            <w:vAlign w:val="center"/>
            <w:tcMar>
              <w:top w:w="90" w:type="dxa"/>
              <w:bottom w:w="90" w:type="dxa"/>
              <w:left w:w="100" w:type="dxa"/>
              <w:right w:w="100" w:type="dxa"/>
            </w:tcMar>
            <w:shd w:fill="FFFFFF"/>
          </w:tcPr>
          <w:p>
            <w:pPr>
              <w:spacing w:after="0" w:line="252" w:lineRule="auto"/>
            </w:pPr>
            <w:r>
              <w:rPr>
                <w:b w:val="0"/>
                <w:sz w:val="19"/>
              </w:rPr>
              <w:t>Invented references unsupported numbers changed conditions and misleading confidence</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Classification</w:t>
            </w:r>
          </w:p>
        </w:tc>
        <w:tc>
          <w:tcPr>
            <w:tcW w:type="dxa" w:w="3888"/>
            <w:vAlign w:val="center"/>
            <w:tcMar>
              <w:top w:w="90" w:type="dxa"/>
              <w:bottom w:w="90" w:type="dxa"/>
              <w:left w:w="100" w:type="dxa"/>
              <w:right w:w="100" w:type="dxa"/>
            </w:tcMar>
            <w:shd w:fill="F5F8FA"/>
          </w:tcPr>
          <w:p>
            <w:pPr>
              <w:spacing w:after="0" w:line="252" w:lineRule="auto"/>
            </w:pPr>
            <w:r>
              <w:rPr>
                <w:b w:val="0"/>
                <w:sz w:val="19"/>
              </w:rPr>
              <w:t>test_classification</w:t>
            </w:r>
          </w:p>
        </w:tc>
        <w:tc>
          <w:tcPr>
            <w:tcW w:type="dxa" w:w="3413"/>
            <w:vAlign w:val="center"/>
            <w:tcMar>
              <w:top w:w="90" w:type="dxa"/>
              <w:bottom w:w="90" w:type="dxa"/>
              <w:left w:w="100" w:type="dxa"/>
              <w:right w:w="100" w:type="dxa"/>
            </w:tcMar>
            <w:shd w:fill="F5F8FA"/>
          </w:tcPr>
          <w:p>
            <w:pPr>
              <w:spacing w:after="0" w:line="252" w:lineRule="auto"/>
            </w:pPr>
            <w:r>
              <w:rPr>
                <w:b w:val="0"/>
                <w:sz w:val="19"/>
              </w:rPr>
              <w:t>All categories missing fields unknowns inconsistent answers and defining clauses</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ABS and patent</w:t>
            </w:r>
          </w:p>
        </w:tc>
        <w:tc>
          <w:tcPr>
            <w:tcW w:type="dxa" w:w="3888"/>
            <w:vAlign w:val="center"/>
            <w:tcMar>
              <w:top w:w="90" w:type="dxa"/>
              <w:bottom w:w="90" w:type="dxa"/>
              <w:left w:w="100" w:type="dxa"/>
              <w:right w:w="100" w:type="dxa"/>
            </w:tcMar>
            <w:shd w:fill="FFFFFF"/>
          </w:tcPr>
          <w:p>
            <w:pPr>
              <w:spacing w:after="0" w:line="252" w:lineRule="auto"/>
            </w:pPr>
            <w:r>
              <w:rPr>
                <w:b w:val="0"/>
                <w:sz w:val="19"/>
              </w:rPr>
              <w:t>test_abs_applicability and browser tool checks</w:t>
            </w:r>
          </w:p>
        </w:tc>
        <w:tc>
          <w:tcPr>
            <w:tcW w:type="dxa" w:w="3413"/>
            <w:vAlign w:val="center"/>
            <w:tcMar>
              <w:top w:w="90" w:type="dxa"/>
              <w:bottom w:w="90" w:type="dxa"/>
              <w:left w:w="100" w:type="dxa"/>
              <w:right w:w="100" w:type="dxa"/>
            </w:tcMar>
            <w:shd w:fill="FFFFFF"/>
          </w:tcPr>
          <w:p>
            <w:pPr>
              <w:spacing w:after="0" w:line="252" w:lineRule="auto"/>
            </w:pPr>
            <w:r>
              <w:rPr>
                <w:b w:val="0"/>
                <w:sz w:val="19"/>
              </w:rPr>
              <w:t>Unsupported exemptions timing and disguised legal conclusions</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History and access</w:t>
            </w:r>
          </w:p>
        </w:tc>
        <w:tc>
          <w:tcPr>
            <w:tcW w:type="dxa" w:w="3888"/>
            <w:vAlign w:val="center"/>
            <w:tcMar>
              <w:top w:w="90" w:type="dxa"/>
              <w:bottom w:w="90" w:type="dxa"/>
              <w:left w:w="100" w:type="dxa"/>
              <w:right w:w="100" w:type="dxa"/>
            </w:tcMar>
            <w:shd w:fill="F5F8FA"/>
          </w:tcPr>
          <w:p>
            <w:pPr>
              <w:spacing w:after="0" w:line="252" w:lineRule="auto"/>
            </w:pPr>
            <w:r>
              <w:rPr>
                <w:b w:val="0"/>
                <w:sz w:val="19"/>
              </w:rPr>
              <w:t>test_history test_pii test_logging and live history browser test</w:t>
            </w:r>
          </w:p>
        </w:tc>
        <w:tc>
          <w:tcPr>
            <w:tcW w:type="dxa" w:w="3413"/>
            <w:vAlign w:val="center"/>
            <w:tcMar>
              <w:top w:w="90" w:type="dxa"/>
              <w:bottom w:w="90" w:type="dxa"/>
              <w:left w:w="100" w:type="dxa"/>
              <w:right w:w="100" w:type="dxa"/>
            </w:tcMar>
            <w:shd w:fill="F5F8FA"/>
          </w:tcPr>
          <w:p>
            <w:pPr>
              <w:spacing w:after="0" w:line="252" w:lineRule="auto"/>
            </w:pPr>
            <w:r>
              <w:rPr>
                <w:b w:val="0"/>
                <w:sz w:val="19"/>
              </w:rPr>
              <w:t>Reload expiry workspace crossing secret exposure and missing auth</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Receipts and database</w:t>
            </w:r>
          </w:p>
        </w:tc>
        <w:tc>
          <w:tcPr>
            <w:tcW w:type="dxa" w:w="3888"/>
            <w:vAlign w:val="center"/>
            <w:tcMar>
              <w:top w:w="90" w:type="dxa"/>
              <w:bottom w:w="90" w:type="dxa"/>
              <w:left w:w="100" w:type="dxa"/>
              <w:right w:w="100" w:type="dxa"/>
            </w:tcMar>
            <w:shd w:fill="FFFFFF"/>
          </w:tcPr>
          <w:p>
            <w:pPr>
              <w:spacing w:after="0" w:line="252" w:lineRule="auto"/>
            </w:pPr>
            <w:r>
              <w:rPr>
                <w:b w:val="0"/>
                <w:sz w:val="19"/>
              </w:rPr>
              <w:t>invariants/test_audit_chain_concurrent test_receipts_resolvable test_verbatim test_live_corpus_immutable</w:t>
            </w:r>
          </w:p>
        </w:tc>
        <w:tc>
          <w:tcPr>
            <w:tcW w:type="dxa" w:w="3413"/>
            <w:vAlign w:val="center"/>
            <w:tcMar>
              <w:top w:w="90" w:type="dxa"/>
              <w:bottom w:w="90" w:type="dxa"/>
              <w:left w:w="100" w:type="dxa"/>
              <w:right w:w="100" w:type="dxa"/>
            </w:tcMar>
            <w:shd w:fill="FFFFFF"/>
          </w:tcPr>
          <w:p>
            <w:pPr>
              <w:spacing w:after="0" w:line="252" w:lineRule="auto"/>
            </w:pPr>
            <w:r>
              <w:rPr>
                <w:b w:val="0"/>
                <w:sz w:val="19"/>
              </w:rPr>
              <w:t>Broken chain unresolved evidence altered quotes and live mutation</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Ingestion and review</w:t>
            </w:r>
          </w:p>
        </w:tc>
        <w:tc>
          <w:tcPr>
            <w:tcW w:type="dxa" w:w="3888"/>
            <w:vAlign w:val="center"/>
            <w:tcMar>
              <w:top w:w="90" w:type="dxa"/>
              <w:bottom w:w="90" w:type="dxa"/>
              <w:left w:w="100" w:type="dxa"/>
              <w:right w:w="100" w:type="dxa"/>
            </w:tcMar>
            <w:shd w:fill="F5F8FA"/>
          </w:tcPr>
          <w:p>
            <w:pPr>
              <w:spacing w:after="0" w:line="252" w:lineRule="auto"/>
            </w:pPr>
            <w:r>
              <w:rPr>
                <w:b w:val="0"/>
                <w:sz w:val="19"/>
              </w:rPr>
              <w:t>test_fetch test_chunk_legal test_ingest_cli test_ingest_resume test_source_review</w:t>
            </w:r>
          </w:p>
        </w:tc>
        <w:tc>
          <w:tcPr>
            <w:tcW w:type="dxa" w:w="3413"/>
            <w:vAlign w:val="center"/>
            <w:tcMar>
              <w:top w:w="90" w:type="dxa"/>
              <w:bottom w:w="90" w:type="dxa"/>
              <w:left w:w="100" w:type="dxa"/>
              <w:right w:w="100" w:type="dxa"/>
            </w:tcMar>
            <w:shd w:fill="F5F8FA"/>
          </w:tcPr>
          <w:p>
            <w:pPr>
              <w:spacing w:after="0" w:line="252" w:lineRule="auto"/>
            </w:pPr>
            <w:r>
              <w:rPr>
                <w:b w:val="0"/>
                <w:sz w:val="19"/>
              </w:rPr>
              <w:t>Corrupt files lost source text resume errors and stale approval</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Export and UI</w:t>
            </w:r>
          </w:p>
        </w:tc>
        <w:tc>
          <w:tcPr>
            <w:tcW w:type="dxa" w:w="3888"/>
            <w:vAlign w:val="center"/>
            <w:tcMar>
              <w:top w:w="90" w:type="dxa"/>
              <w:bottom w:w="90" w:type="dxa"/>
              <w:left w:w="100" w:type="dxa"/>
              <w:right w:w="100" w:type="dxa"/>
            </w:tcMar>
            <w:shd w:fill="FFFFFF"/>
          </w:tcPr>
          <w:p>
            <w:pPr>
              <w:spacing w:after="0" w:line="252" w:lineRule="auto"/>
            </w:pPr>
            <w:r>
              <w:rPr>
                <w:b w:val="0"/>
                <w:sz w:val="19"/>
              </w:rPr>
              <w:t>test_dossier_render frontend unit suites and Playwright</w:t>
            </w:r>
          </w:p>
        </w:tc>
        <w:tc>
          <w:tcPr>
            <w:tcW w:type="dxa" w:w="3413"/>
            <w:vAlign w:val="center"/>
            <w:tcMar>
              <w:top w:w="90" w:type="dxa"/>
              <w:bottom w:w="90" w:type="dxa"/>
              <w:left w:w="100" w:type="dxa"/>
              <w:right w:w="100" w:type="dxa"/>
            </w:tcMar>
            <w:shd w:fill="FFFFFF"/>
          </w:tcPr>
          <w:p>
            <w:pPr>
              <w:spacing w:after="0" w:line="252" w:lineRule="auto"/>
            </w:pPr>
            <w:r>
              <w:rPr>
                <w:b w:val="0"/>
                <w:sz w:val="19"/>
              </w:rPr>
              <w:t>Fake exports Unicode loss clipped layout and missing PDF worker</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Escalation and limits</w:t>
            </w:r>
          </w:p>
        </w:tc>
        <w:tc>
          <w:tcPr>
            <w:tcW w:type="dxa" w:w="3888"/>
            <w:vAlign w:val="center"/>
            <w:tcMar>
              <w:top w:w="90" w:type="dxa"/>
              <w:bottom w:w="90" w:type="dxa"/>
              <w:left w:w="100" w:type="dxa"/>
              <w:right w:w="100" w:type="dxa"/>
            </w:tcMar>
            <w:shd w:fill="F5F8FA"/>
          </w:tcPr>
          <w:p>
            <w:pPr>
              <w:spacing w:after="0" w:line="252" w:lineRule="auto"/>
            </w:pPr>
            <w:r>
              <w:rPr>
                <w:b w:val="0"/>
                <w:sz w:val="19"/>
              </w:rPr>
              <w:t>test_escalation_auth test_escalations test_rate_limit</w:t>
            </w:r>
          </w:p>
        </w:tc>
        <w:tc>
          <w:tcPr>
            <w:tcW w:type="dxa" w:w="3413"/>
            <w:vAlign w:val="center"/>
            <w:tcMar>
              <w:top w:w="90" w:type="dxa"/>
              <w:bottom w:w="90" w:type="dxa"/>
              <w:left w:w="100" w:type="dxa"/>
              <w:right w:w="100" w:type="dxa"/>
            </w:tcMar>
            <w:shd w:fill="F5F8FA"/>
          </w:tcPr>
          <w:p>
            <w:pPr>
              <w:spacing w:after="0" w:line="252" w:lineRule="auto"/>
            </w:pPr>
            <w:r>
              <w:rPr>
                <w:b w:val="0"/>
                <w:sz w:val="19"/>
              </w:rPr>
              <w:t>Unauthorized listing invalid prior requests and uncontrolled request rate</w:t>
            </w:r>
          </w:p>
        </w:tc>
      </w:tr>
    </w:tbl>
    <w:p>
      <w:pPr>
        <w:spacing w:after="20" w:before="0" w:line="240" w:lineRule="auto"/>
      </w:pPr>
      <w:r>
        <w:rPr>
          <w:sz w:val="2"/>
        </w:rPr>
      </w:r>
    </w:p>
    <w:p>
      <w:r>
        <w:t>Names refer to files under backend/tests unless frontend or Playwright is stated. The unit suite often uses isolated doubles to test branches. Live acceptance is necessary to prove the components are actually connected. Passing tests only cover their assertions and data; no suite can prove every legal answer correct.</w:t>
      </w:r>
    </w:p>
    <w:p>
      <w:pPr>
        <w:pStyle w:val="Heading2"/>
      </w:pPr>
      <w:r>
        <w:t>Run routing retrieval and memory evaluation</w:t>
      </w:r>
    </w:p>
    <w:p>
      <w:pPr>
        <w:pStyle w:val="Code"/>
        <w:keepNext/>
      </w:pPr>
      <w:r>
        <w:t>docker compose exec -T backend python -m app.routing_eval</w:t>
      </w:r>
    </w:p>
    <w:p>
      <w:pPr>
        <w:pStyle w:val="Code"/>
        <w:keepNext w:val="0"/>
      </w:pPr>
      <w:r>
        <w:t>make eval</w:t>
      </w:r>
    </w:p>
    <w:p>
      <w:r>
        <w:t>Routing uses eval/golden/routing.jsonl with 55 cases. Check answerable recognition separately for direct, weak and indirect wording and inspect the individual failures. The required recognition threshold is 95 percent. The in-scope/no-evidence label measures topic scope here; the live missing-instrument test separately verifies no_evidence behavior.</w:t>
      </w:r>
    </w:p>
    <w:p>
      <w:r>
        <w:t>Retrieval uses eval/golden/golden.jsonl, currently eight evidence-bearing and two abstention cases. make eval evaluates the live version. Review-stage evaluates the specified staged version. Keep the version and method with any reported metrics. Live recall was reported as 0.62 with precision 0.08; staged recall was 1.00 with precision 0.10. Depth and parent expansion affect retrieval precision. Neither run measured final synthesized-answer faithfulness, which stays null.</w:t>
      </w:r>
    </w:p>
    <w:p>
      <w:r>
        <w:t>Run memory sampling in one terminal while running representative live queries in another:</w:t>
      </w:r>
    </w:p>
    <w:p>
      <w:pPr>
        <w:pStyle w:val="Code"/>
        <w:keepNext w:val="0"/>
      </w:pPr>
      <w:r>
        <w:t>.venv/bin/python scripts/check_memory.py --seconds 75</w:t>
      </w:r>
    </w:p>
    <w:p>
      <w:r>
        <w:t>Inspect memory.json for within_budget, total bytes, individual services and loaded_models. At least one representative peak must include both requested models and 8,192 generation context. A run with no queries or no loaded models is not acceptance. Repeat for multilingual translation, both jurisdictions and follow-ups; report the workload and sampling limitations with the result.</w:t>
      </w:r>
    </w:p>
    <w:p>
      <w:bookmarkStart w:id="9" w:name="section_9"/>
      <w:pPr>
        <w:pStyle w:val="Heading1"/>
      </w:pPr>
      <w:r>
        <w:t>10 Manual end to end tests</w:t>
      </w:r>
      <w:bookmarkEnd w:id="9"/>
    </w:p>
    <w:p>
      <w:pPr>
        <w:pStyle w:val="Heading2"/>
      </w:pPr>
      <w:r>
        <w:t>Test 1 Supported synthesis and proof</w:t>
      </w:r>
    </w:p>
    <w:p>
      <w:r>
        <w:t>Connect the shared workspace and start a conversation named Manual acceptance. Select India and English. Ask: Summarize section 3(p) of the Patents Act and its introductory section. Wait for the stage stream to finish. Expect an answer containing at least one verified claim, real evidence IDs and a receipt. Inspect each claim's cited text; the source should support the specific wording, not merely share a topic.</w:t>
      </w:r>
    </w:p>
    <w:p>
      <w:r>
        <w:t>Open a citation and verify title, pinned version, physical page and highlighted text. Open the receipt and use Verify receipt. Expect a valid chain, corpus membership and Merkle proof. A high confidence badge alone is insufficient. Record request ID, receipt ID, corpus version, claim statuses and elapsed time. Reason: this exercises the complete model-to-source-to-proof connection.</w:t>
      </w:r>
    </w:p>
    <w:p>
      <w:pPr>
        <w:pStyle w:val="Heading2"/>
      </w:pPr>
      <w:r>
        <w:t>Test 2 Follow up and scope separation</w:t>
      </w:r>
    </w:p>
    <w:p>
      <w:r>
        <w:t>In the same conversation ask: What does that exclusion cover? Expect the prior subject to help retrieval, with fresh supporting citations on any answer. Then ask: What is the weather today? Expect out_of_scope even though the saved turns are legal. Ask a new in-scope question explicitly naming the unindexed Patent Cooperation Treaty. Expect no_evidence and no synthesized claim borrowed from the Patents Act. Reason: conversational context must not override scope or manufacture coverage.</w:t>
      </w:r>
    </w:p>
    <w:p>
      <w:pPr>
        <w:pStyle w:val="Heading2"/>
      </w:pPr>
      <w:r>
        <w:t>Test 3 Broad and indirect questions</w:t>
      </w:r>
    </w:p>
    <w:p>
      <w:r>
        <w:t>Try Can traditional knowledge be patented in India, followed by weaker and indirect formulations from the routing golden file. Record the router's in-scope recognition separately from whether retrieval and synthesis succeed. A low-confidence refusal in the current index is a known limitation; do not count it as a verified answer. Reason: scope recognition and factual answer quality require different evidence.</w:t>
      </w:r>
    </w:p>
    <w:p>
      <w:pPr>
        <w:pStyle w:val="Heading2"/>
      </w:pPr>
      <w:r>
        <w:t>Test 4 Shared history reload resume and deletion</w:t>
      </w:r>
    </w:p>
    <w:p>
      <w:r>
        <w:t>Ask a supported question while connected, then reload the page. Resume the conversation from Saved conversations; user and assistant turns and the saved result should be present. In a second browser session enter the same authorized key and confirm the same history. Disconnect or use a wrong key; history reads should fail instead of exposing records. Delete the test conversation and confirm it disappears in both sessions and its detail endpoint returns 404. Delete only your labelled test records because all authorized users share the workspace.</w:t>
      </w:r>
    </w:p>
    <w:p>
      <w:r>
        <w:t>Reason: state must live in PostgreSQL rather than browser-only memory, and a shared workspace must still enforce access. Expiry and a different-workspace boundary are tested with isolated unit data; never change the live workspace globally simply to test isolation.</w:t>
      </w:r>
    </w:p>
    <w:p>
      <w:pPr>
        <w:pStyle w:val="Heading2"/>
      </w:pPr>
      <w:r>
        <w:t>Test 5 Scrubbing and expiry</w:t>
      </w:r>
    </w:p>
    <w:p>
      <w:r>
        <w:t>Use clearly fictitious identifiers in a test message and title, such as tester@example.com and a test phone number. Inspect saved content and confirm the original identifiers are not retained; the legal evidence quote should remain unchanged. Do not put real personal data into a shared test conversation. Run the isolated test_history expiry case: it ages test rows by 31 days and verifies message/result/reference cleanup. Do not wait 30 days or backdate live rows to obtain a passing result.</w:t>
      </w:r>
    </w:p>
    <w:p>
      <w:r>
        <w:t>Also test an active conversation containing older expired messages: recent activity must not renew those old messages/results. Confirm an expired or missing request cannot be resurrected by dossier export. Reason: independent retention is necessary when conversations remain active.</w:t>
      </w:r>
    </w:p>
    <w:p>
      <w:pPr>
        <w:pStyle w:val="Heading2"/>
      </w:pPr>
      <w:r>
        <w:t>Test 6 Case file and all export formats</w:t>
      </w:r>
    </w:p>
    <w:p>
      <w:r>
        <w:t>Add the saved supported answer to Cases. Reload and confirm the reference persists. Export Markdown, DOCX and an English PDF. Open each file and compare the claim wording, original evidence text and receipt IDs with the saved result. Reorder or remove references and confirm the server order/removal survives reload. Submit a missing request ID in an isolated export test and expect an explicit missing item.</w:t>
      </w:r>
    </w:p>
    <w:p>
      <w:r>
        <w:t>Use saved non-Latin content to check Unicode preservation in DOCX/Markdown. For a PDF with unsupported characters expect the explicit font error rather than missing glyphs. Requesting translated dossier output should be rejected; the exporter does not translate. Reason: a dossier is a faithful record of the served result, not a new generation.</w:t>
      </w:r>
    </w:p>
    <w:p>
      <w:pPr>
        <w:pStyle w:val="Heading2"/>
      </w:pPr>
      <w:r>
        <w:t>Test 7 Every classification branch</w:t>
      </w:r>
    </w:p>
    <w:p>
      <w:r>
        <w:t>Use the exact baseline field values and category variations in backend/tests/unit/test_classification.py as technical test inputs. They are synthetic rule tests, not a product's clinical or legal evidence. Fill all four prompt groups in the UI. For the classical path, provide a medicine purpose, therapeutic claim, oral dosage details, a declared exact book/passage match, classical ingredient basis, no novelty and no purified fraction. Repeat with each of the six category variations listed earlier.</w:t>
      </w:r>
    </w:p>
    <w:p>
      <w:r>
        <w:t>For each result inspect category, draft/provisional status, review recommendation, decision path and the actual defining citation. Clear each required field in turn, select unknown/ambiguous, give food with therapeutic claims, give a cosmetic with oral route, declare exact match with reference none, or declare marker standardization without a purified fraction. Expect clarification in the relevant existing group. Reason: uncertainty must remain visible and a short wizard must cover every decision branch.</w:t>
      </w:r>
    </w:p>
    <w:p>
      <w:pPr>
        <w:pStyle w:val="Heading2"/>
      </w:pPr>
      <w:r>
        <w:t>Test 8 Patent indicators and ABS checklist</w:t>
      </w:r>
    </w:p>
    <w:p>
      <w:r>
        <w:t>In Intellectual Property enter a declared classical source and a known-substance derivative, then compare the result with and without declared clinical data. The derivative indicator must not disappear merely because a data checkbox is true. Inspect the draft indicator wording and real section citations; a score must never be labelled probability of rejection or a reviewed legal conclusion.</w:t>
      </w:r>
    </w:p>
    <w:p>
      <w:r>
        <w:t>In ABS select research and use Curcuma longa as a technical test resource. Expect cited statutory material, applicability unassessed, and unknown required/exempt values where applicable. Repeat with no resources and with cultivated/codified flags; these must not automatically create a blanket exemption. Invalid as_of must return 422. Reason: incomplete facts cannot establish an obligation, exemption or timing.</w:t>
      </w:r>
    </w:p>
    <w:p>
      <w:pPr>
        <w:pStyle w:val="Heading2"/>
      </w:pPr>
      <w:r>
        <w:t>Test 9 TK naming and query pack</w:t>
      </w:r>
    </w:p>
    <w:p>
      <w:r>
        <w:t>Enter a known botanical ingredient and inspect its normalized scientific name and any seed match. Enter an ambiguous common name and expect clarification or unresolved ambiguity rather than an unjustified species. Inspect the TKDL pack and its access note. Confirm the screen does not claim to have searched the live TKDL database. Reason: normalization, seed matching and a restricted database search are different operations.</w:t>
      </w:r>
    </w:p>
    <w:p>
      <w:pPr>
        <w:pStyle w:val="Heading2"/>
      </w:pPr>
      <w:r>
        <w:t>Test 10 Production PDF and responsive layout</w:t>
      </w:r>
    </w:p>
    <w:p>
      <w:r>
        <w:t>Use the Docker build, not only the Vite development server. Open the cited-page viewer and inspect the browser network panel. The worker must come from /assets/ and have a JavaScript MIME type. The cited PDF must use the pinned corpus version. Scroll within the main desktop pane and confirm sidebar position stays fixed. At 360-pixel width check date/control visibility, no horizontal overflow, a usable navigation drawer and a composer below the welcome content.</w:t>
      </w:r>
    </w:p>
    <w:p>
      <w:r>
        <w:t>Reload with a previously installed service worker if testing an upgrade. A stale asset can hide a build defect. Confirm no worker request returns HTML, and visually compare highlights with the real page. Reason: successful development rendering does not prove a production asset or layout is correct.</w:t>
      </w:r>
    </w:p>
    <w:p>
      <w:pPr>
        <w:pStyle w:val="Heading2"/>
      </w:pPr>
      <w:r>
        <w:t>Test 11 Source coverage and update review</w:t>
      </w:r>
    </w:p>
    <w:p>
      <w:r>
        <w:t>Open Evidence and compare its topic statuses with /v1/corpus/coverage. Confirm PCT and other missing instruments are not represented as available, and TKDL says query pack only. Inspect the current source-check report for failures. On isolated staged data test changed bytes, invalid hash, non-authoritative provenance, low coverage, missing highlights and a stale review hash. Promotion must fail without the exact passing report and named reviewer approval.</w:t>
      </w:r>
    </w:p>
    <w:p>
      <w:r>
        <w:t>Do not invent a changed source, waive an extraction warning or approve the current failing index just to make this test green. Reason: a source monitor is an update detector; it must not bypass ingestion and legal-quality review.</w:t>
      </w:r>
    </w:p>
    <w:p>
      <w:pPr>
        <w:pStyle w:val="Heading2"/>
      </w:pPr>
      <w:r>
        <w:t>Test 12 Escalation speech and error handling</w:t>
      </w:r>
    </w:p>
    <w:p>
      <w:r>
        <w:t>Create an escalation from a real test request and confirm a ticket is stored. A malformed request ID should give a controlled 400 and an unknown valid ID a 404. Confirm administrator listing denies missing/wrong keys. No email or professional-response promise should appear. Use fictitious contact details and handle the ticket's separate retention deliberately.</w:t>
      </w:r>
    </w:p>
    <w:p>
      <w:r>
        <w:t>Try the microphone: expect the recognition-unavailable message and a usable typed-question path. For read-aloud, configure the backend Sarvam key and press Listen on a real answer. Inspect audio/wav and the sarvam provider header, confirm audible playback and stop it. Test a long answer to ensure every displayed claim is read in sequential chunks. Stop during loading, change page during playback and confirm no later audio starts.</w:t>
      </w:r>
    </w:p>
    <w:p>
      <w:r>
        <w:t>Test missing credentials, rejected credentials, timeout, rate limit, malformed audio and browser playback failure. Unit tests use clearly labelled synthetic audio/transport fixtures; actual provider audio requires a valid keyed call. scripts/run-browser-tests.py checks the production UI and saves eval/results/sarvam-tts.json; live_audio_verified is true only when a real Sarvam response passes the WAV checks and native playback advances. Reason: provider failure must remain visible, and a test fixture cannot establish that paid speech works.</w:t>
      </w:r>
    </w:p>
    <w:p>
      <w:bookmarkStart w:id="10" w:name="section_10"/>
      <w:pPr>
        <w:pStyle w:val="Heading1"/>
      </w:pPr>
      <w:r>
        <w:t>11 Failure testing and troubleshooting</w:t>
      </w:r>
      <w:bookmarkEnd w:id="10"/>
    </w:p>
    <w:p>
      <w:pPr>
        <w:pStyle w:val="Heading2"/>
      </w:pPr>
      <w:r>
        <w:t>Generation unavailable without disrupting the host</w:t>
      </w:r>
    </w:p>
    <w:p>
      <w:r>
        <w:t>Use an isolated process/container with OLLAMA_BASE_URL set to http://127.0.0.1:1, preserving the normal application's settings. Invoke the pipeline against an evidence-bearing question. Expect generation_unavailable with real excerpts if retrieval succeeds, no verified synthesis and a receipt where audit completes. The existing test_ollama_llm, test_verify and live unavailable artifact cover related paths. Do not stop another user's native Ollama merely to test this branch.</w:t>
      </w:r>
    </w:p>
    <w:p>
      <w:r>
        <w:t>Compose overrides the backend URL to host.docker.internal, so editing only .env may not simulate an unavailable endpoint inside Compose. An isolated invocation must explicitly override that environment value. Test malformed JSON and unknown evidence references with test doubles, and keep those results labelled unit tests rather than real model outputs.</w:t>
      </w:r>
    </w:p>
    <w:p>
      <w:pPr>
        <w:pStyle w:val="Heading2"/>
      </w:pPr>
      <w:r>
        <w:t>Troubleshooting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88"/>
        <w:gridCol w:w="3413"/>
      </w:tblGrid>
      <w:tr>
        <w:trPr>
          <w:tblHeader/>
          <w:cantSplit/>
        </w:trPr>
        <w:tc>
          <w:tcPr>
            <w:tcW w:type="dxa" w:w="2448"/>
            <w:vAlign w:val="center"/>
            <w:tcMar>
              <w:top w:w="90" w:type="dxa"/>
              <w:bottom w:w="90" w:type="dxa"/>
              <w:left w:w="100" w:type="dxa"/>
              <w:right w:w="100" w:type="dxa"/>
            </w:tcMar>
            <w:shd w:fill="DBEAF2"/>
          </w:tcPr>
          <w:p>
            <w:pPr>
              <w:spacing w:after="0" w:line="252" w:lineRule="auto"/>
            </w:pPr>
            <w:r>
              <w:rPr>
                <w:b/>
                <w:sz w:val="19"/>
              </w:rPr>
              <w:t>Symptom</w:t>
            </w:r>
          </w:p>
        </w:tc>
        <w:tc>
          <w:tcPr>
            <w:tcW w:type="dxa" w:w="3888"/>
            <w:vAlign w:val="center"/>
            <w:tcMar>
              <w:top w:w="90" w:type="dxa"/>
              <w:bottom w:w="90" w:type="dxa"/>
              <w:left w:w="100" w:type="dxa"/>
              <w:right w:w="100" w:type="dxa"/>
            </w:tcMar>
            <w:shd w:fill="DBEAF2"/>
          </w:tcPr>
          <w:p>
            <w:pPr>
              <w:spacing w:after="0" w:line="252" w:lineRule="auto"/>
            </w:pPr>
            <w:r>
              <w:rPr>
                <w:b/>
                <w:sz w:val="19"/>
              </w:rPr>
              <w:t>What to inspect</w:t>
            </w:r>
          </w:p>
        </w:tc>
        <w:tc>
          <w:tcPr>
            <w:tcW w:type="dxa" w:w="3413"/>
            <w:vAlign w:val="center"/>
            <w:tcMar>
              <w:top w:w="90" w:type="dxa"/>
              <w:bottom w:w="90" w:type="dxa"/>
              <w:left w:w="100" w:type="dxa"/>
              <w:right w:w="100" w:type="dxa"/>
            </w:tcMar>
            <w:shd w:fill="DBEAF2"/>
          </w:tcPr>
          <w:p>
            <w:pPr>
              <w:spacing w:after="0" w:line="252" w:lineRule="auto"/>
            </w:pPr>
            <w:r>
              <w:rPr>
                <w:b/>
                <w:sz w:val="19"/>
              </w:rPr>
              <w:t>What the result means</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App does not open</w:t>
            </w:r>
          </w:p>
        </w:tc>
        <w:tc>
          <w:tcPr>
            <w:tcW w:type="dxa" w:w="3888"/>
            <w:vAlign w:val="center"/>
            <w:tcMar>
              <w:top w:w="90" w:type="dxa"/>
              <w:bottom w:w="90" w:type="dxa"/>
              <w:left w:w="100" w:type="dxa"/>
              <w:right w:w="100" w:type="dxa"/>
            </w:tcMar>
            <w:shd w:fill="FFFFFF"/>
          </w:tcPr>
          <w:p>
            <w:pPr>
              <w:spacing w:after="0" w:line="252" w:lineRule="auto"/>
            </w:pPr>
            <w:r>
              <w:rPr>
                <w:b w:val="0"/>
                <w:sz w:val="19"/>
              </w:rPr>
              <w:t>docker compose ps and frontend logs</w:t>
            </w:r>
          </w:p>
        </w:tc>
        <w:tc>
          <w:tcPr>
            <w:tcW w:type="dxa" w:w="3413"/>
            <w:vAlign w:val="center"/>
            <w:tcMar>
              <w:top w:w="90" w:type="dxa"/>
              <w:bottom w:w="90" w:type="dxa"/>
              <w:left w:w="100" w:type="dxa"/>
              <w:right w:w="100" w:type="dxa"/>
            </w:tcMar>
            <w:shd w:fill="FFFFFF"/>
          </w:tcPr>
          <w:p>
            <w:pPr>
              <w:spacing w:after="0" w:line="252" w:lineRule="auto"/>
            </w:pPr>
            <w:r>
              <w:rPr>
                <w:b w:val="0"/>
                <w:sz w:val="19"/>
              </w:rPr>
              <w:t>Confirm ports and the built frontend are running</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Backend is starting slowly</w:t>
            </w:r>
          </w:p>
        </w:tc>
        <w:tc>
          <w:tcPr>
            <w:tcW w:type="dxa" w:w="3888"/>
            <w:vAlign w:val="center"/>
            <w:tcMar>
              <w:top w:w="90" w:type="dxa"/>
              <w:bottom w:w="90" w:type="dxa"/>
              <w:left w:w="100" w:type="dxa"/>
              <w:right w:w="100" w:type="dxa"/>
            </w:tcMar>
            <w:shd w:fill="F5F8FA"/>
          </w:tcPr>
          <w:p>
            <w:pPr>
              <w:spacing w:after="0" w:line="252" w:lineRule="auto"/>
            </w:pPr>
            <w:r>
              <w:rPr>
                <w:b w:val="0"/>
                <w:sz w:val="19"/>
              </w:rPr>
              <w:t>Backend logs and persistent NLI cache</w:t>
            </w:r>
          </w:p>
        </w:tc>
        <w:tc>
          <w:tcPr>
            <w:tcW w:type="dxa" w:w="3413"/>
            <w:vAlign w:val="center"/>
            <w:tcMar>
              <w:top w:w="90" w:type="dxa"/>
              <w:bottom w:w="90" w:type="dxa"/>
              <w:left w:w="100" w:type="dxa"/>
              <w:right w:w="100" w:type="dxa"/>
            </w:tcMar>
            <w:shd w:fill="F5F8FA"/>
          </w:tcPr>
          <w:p>
            <w:pPr>
              <w:spacing w:after="0" w:line="252" w:lineRule="auto"/>
            </w:pPr>
            <w:r>
              <w:rPr>
                <w:b w:val="0"/>
                <w:sz w:val="19"/>
              </w:rPr>
              <w:t>First model load may be pending before readiness</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generation_unavailable</w:t>
            </w:r>
          </w:p>
        </w:tc>
        <w:tc>
          <w:tcPr>
            <w:tcW w:type="dxa" w:w="3888"/>
            <w:vAlign w:val="center"/>
            <w:tcMar>
              <w:top w:w="90" w:type="dxa"/>
              <w:bottom w:w="90" w:type="dxa"/>
              <w:left w:w="100" w:type="dxa"/>
              <w:right w:w="100" w:type="dxa"/>
            </w:tcMar>
            <w:shd w:fill="FFFFFF"/>
          </w:tcPr>
          <w:p>
            <w:pPr>
              <w:spacing w:after="0" w:line="252" w:lineRule="auto"/>
            </w:pPr>
            <w:r>
              <w:rPr>
                <w:b w:val="0"/>
                <w:sz w:val="19"/>
              </w:rPr>
              <w:t>Ollama tags endpoint model names and container-to-host URL</w:t>
            </w:r>
          </w:p>
        </w:tc>
        <w:tc>
          <w:tcPr>
            <w:tcW w:type="dxa" w:w="3413"/>
            <w:vAlign w:val="center"/>
            <w:tcMar>
              <w:top w:w="90" w:type="dxa"/>
              <w:bottom w:w="90" w:type="dxa"/>
              <w:left w:w="100" w:type="dxa"/>
              <w:right w:w="100" w:type="dxa"/>
            </w:tcMar>
            <w:shd w:fill="FFFFFF"/>
          </w:tcPr>
          <w:p>
            <w:pPr>
              <w:spacing w:after="0" w:line="252" w:lineRule="auto"/>
            </w:pPr>
            <w:r>
              <w:rPr>
                <w:b w:val="0"/>
                <w:sz w:val="19"/>
              </w:rPr>
              <w:t>Restore local service/model availability without adding a provider fallback</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Missing history or 401</w:t>
            </w:r>
          </w:p>
        </w:tc>
        <w:tc>
          <w:tcPr>
            <w:tcW w:type="dxa" w:w="3888"/>
            <w:vAlign w:val="center"/>
            <w:tcMar>
              <w:top w:w="90" w:type="dxa"/>
              <w:bottom w:w="90" w:type="dxa"/>
              <w:left w:w="100" w:type="dxa"/>
              <w:right w:w="100" w:type="dxa"/>
            </w:tcMar>
            <w:shd w:fill="F5F8FA"/>
          </w:tcPr>
          <w:p>
            <w:pPr>
              <w:spacing w:after="0" w:line="252" w:lineRule="auto"/>
            </w:pPr>
            <w:r>
              <w:rPr>
                <w:b w:val="0"/>
                <w:sz w:val="19"/>
              </w:rPr>
              <w:t>Session key server DEMO_KEY and workspace</w:t>
            </w:r>
          </w:p>
        </w:tc>
        <w:tc>
          <w:tcPr>
            <w:tcW w:type="dxa" w:w="3413"/>
            <w:vAlign w:val="center"/>
            <w:tcMar>
              <w:top w:w="90" w:type="dxa"/>
              <w:bottom w:w="90" w:type="dxa"/>
              <w:left w:w="100" w:type="dxa"/>
              <w:right w:w="100" w:type="dxa"/>
            </w:tcMar>
            <w:shd w:fill="F5F8FA"/>
          </w:tcPr>
          <w:p>
            <w:pPr>
              <w:spacing w:after="0" w:line="252" w:lineRule="auto"/>
            </w:pPr>
            <w:r>
              <w:rPr>
                <w:b w:val="0"/>
                <w:sz w:val="19"/>
              </w:rPr>
              <w:t>Reconnect with the authorized key and do not expose it in logs</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History configuration returns 503</w:t>
            </w:r>
          </w:p>
        </w:tc>
        <w:tc>
          <w:tcPr>
            <w:tcW w:type="dxa" w:w="3888"/>
            <w:vAlign w:val="center"/>
            <w:tcMar>
              <w:top w:w="90" w:type="dxa"/>
              <w:bottom w:w="90" w:type="dxa"/>
              <w:left w:w="100" w:type="dxa"/>
              <w:right w:w="100" w:type="dxa"/>
            </w:tcMar>
            <w:shd w:fill="FFFFFF"/>
          </w:tcPr>
          <w:p>
            <w:pPr>
              <w:spacing w:after="0" w:line="252" w:lineRule="auto"/>
            </w:pPr>
            <w:r>
              <w:rPr>
                <w:b w:val="0"/>
                <w:sz w:val="19"/>
              </w:rPr>
              <w:t>Server key configuration</w:t>
            </w:r>
          </w:p>
        </w:tc>
        <w:tc>
          <w:tcPr>
            <w:tcW w:type="dxa" w:w="3413"/>
            <w:vAlign w:val="center"/>
            <w:tcMar>
              <w:top w:w="90" w:type="dxa"/>
              <w:bottom w:w="90" w:type="dxa"/>
              <w:left w:w="100" w:type="dxa"/>
              <w:right w:w="100" w:type="dxa"/>
            </w:tcMar>
            <w:shd w:fill="FFFFFF"/>
          </w:tcPr>
          <w:p>
            <w:pPr>
              <w:spacing w:after="0" w:line="252" w:lineRule="auto"/>
            </w:pPr>
            <w:r>
              <w:rPr>
                <w:b w:val="0"/>
                <w:sz w:val="19"/>
              </w:rPr>
              <w:t>Shared access has not been configured</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Query returns no_evidence</w:t>
            </w:r>
          </w:p>
        </w:tc>
        <w:tc>
          <w:tcPr>
            <w:tcW w:type="dxa" w:w="3888"/>
            <w:vAlign w:val="center"/>
            <w:tcMar>
              <w:top w:w="90" w:type="dxa"/>
              <w:bottom w:w="90" w:type="dxa"/>
              <w:left w:w="100" w:type="dxa"/>
              <w:right w:w="100" w:type="dxa"/>
            </w:tcMar>
            <w:shd w:fill="F5F8FA"/>
          </w:tcPr>
          <w:p>
            <w:pPr>
              <w:spacing w:after="0" w:line="252" w:lineRule="auto"/>
            </w:pPr>
            <w:r>
              <w:rPr>
                <w:b w:val="0"/>
                <w:sz w:val="19"/>
              </w:rPr>
              <w:t>Live version coverage named instrument and retrieval</w:t>
            </w:r>
          </w:p>
        </w:tc>
        <w:tc>
          <w:tcPr>
            <w:tcW w:type="dxa" w:w="3413"/>
            <w:vAlign w:val="center"/>
            <w:tcMar>
              <w:top w:w="90" w:type="dxa"/>
              <w:bottom w:w="90" w:type="dxa"/>
              <w:left w:w="100" w:type="dxa"/>
              <w:right w:w="100" w:type="dxa"/>
            </w:tcMar>
            <w:shd w:fill="F5F8FA"/>
          </w:tcPr>
          <w:p>
            <w:pPr>
              <w:spacing w:after="0" w:line="252" w:lineRule="auto"/>
            </w:pPr>
            <w:r>
              <w:rPr>
                <w:b w:val="0"/>
                <w:sz w:val="19"/>
              </w:rPr>
              <w:t>A relevant subject may be missing or poorly extracted</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Query returns low_confidence</w:t>
            </w:r>
          </w:p>
        </w:tc>
        <w:tc>
          <w:tcPr>
            <w:tcW w:type="dxa" w:w="3888"/>
            <w:vAlign w:val="center"/>
            <w:tcMar>
              <w:top w:w="90" w:type="dxa"/>
              <w:bottom w:w="90" w:type="dxa"/>
              <w:left w:w="100" w:type="dxa"/>
              <w:right w:w="100" w:type="dxa"/>
            </w:tcMar>
            <w:shd w:fill="FFFFFF"/>
          </w:tcPr>
          <w:p>
            <w:pPr>
              <w:spacing w:after="0" w:line="252" w:lineRule="auto"/>
            </w:pPr>
            <w:r>
              <w:rPr>
                <w:b w:val="0"/>
                <w:sz w:val="19"/>
              </w:rPr>
              <w:t>Dropped-claim reasons retrieval and verifier signals</w:t>
            </w:r>
          </w:p>
        </w:tc>
        <w:tc>
          <w:tcPr>
            <w:tcW w:type="dxa" w:w="3413"/>
            <w:vAlign w:val="center"/>
            <w:tcMar>
              <w:top w:w="90" w:type="dxa"/>
              <w:bottom w:w="90" w:type="dxa"/>
              <w:left w:w="100" w:type="dxa"/>
              <w:right w:w="100" w:type="dxa"/>
            </w:tcMar>
            <w:shd w:fill="FFFFFF"/>
          </w:tcPr>
          <w:p>
            <w:pPr>
              <w:spacing w:after="0" w:line="252" w:lineRule="auto"/>
            </w:pPr>
            <w:r>
              <w:rPr>
                <w:b w:val="0"/>
                <w:sz w:val="19"/>
              </w:rPr>
              <w:t>Improve sources/query or seek review instead of lowering checks to force an answer</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corpus_embedding_compatible is false</w:t>
            </w:r>
          </w:p>
        </w:tc>
        <w:tc>
          <w:tcPr>
            <w:tcW w:type="dxa" w:w="3888"/>
            <w:vAlign w:val="center"/>
            <w:tcMar>
              <w:top w:w="90" w:type="dxa"/>
              <w:bottom w:w="90" w:type="dxa"/>
              <w:left w:w="100" w:type="dxa"/>
              <w:right w:w="100" w:type="dxa"/>
            </w:tcMar>
            <w:shd w:fill="F5F8FA"/>
          </w:tcPr>
          <w:p>
            <w:pPr>
              <w:spacing w:after="0" w:line="252" w:lineRule="auto"/>
            </w:pPr>
            <w:r>
              <w:rPr>
                <w:b w:val="0"/>
                <w:sz w:val="19"/>
              </w:rPr>
              <w:t>Live version embedding provenance</w:t>
            </w:r>
          </w:p>
        </w:tc>
        <w:tc>
          <w:tcPr>
            <w:tcW w:type="dxa" w:w="3413"/>
            <w:vAlign w:val="center"/>
            <w:tcMar>
              <w:top w:w="90" w:type="dxa"/>
              <w:bottom w:w="90" w:type="dxa"/>
              <w:left w:w="100" w:type="dxa"/>
              <w:right w:w="100" w:type="dxa"/>
            </w:tcMar>
            <w:shd w:fill="F5F8FA"/>
          </w:tcPr>
          <w:p>
            <w:pPr>
              <w:spacing w:after="0" w:line="252" w:lineRule="auto"/>
            </w:pPr>
            <w:r>
              <w:rPr>
                <w:b w:val="0"/>
                <w:sz w:val="19"/>
              </w:rPr>
              <w:t>Legacy live index needs reviewed Qwen re-ingestion</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PDF worker or canvas fails</w:t>
            </w:r>
          </w:p>
        </w:tc>
        <w:tc>
          <w:tcPr>
            <w:tcW w:type="dxa" w:w="3888"/>
            <w:vAlign w:val="center"/>
            <w:tcMar>
              <w:top w:w="90" w:type="dxa"/>
              <w:bottom w:w="90" w:type="dxa"/>
              <w:left w:w="100" w:type="dxa"/>
              <w:right w:w="100" w:type="dxa"/>
            </w:tcMar>
            <w:shd w:fill="FFFFFF"/>
          </w:tcPr>
          <w:p>
            <w:pPr>
              <w:spacing w:after="0" w:line="252" w:lineRule="auto"/>
            </w:pPr>
            <w:r>
              <w:rPr>
                <w:b w:val="0"/>
                <w:sz w:val="19"/>
              </w:rPr>
              <w:t>Asset response MIME type stale cache and PDF URL</w:t>
            </w:r>
          </w:p>
        </w:tc>
        <w:tc>
          <w:tcPr>
            <w:tcW w:type="dxa" w:w="3413"/>
            <w:vAlign w:val="center"/>
            <w:tcMar>
              <w:top w:w="90" w:type="dxa"/>
              <w:bottom w:w="90" w:type="dxa"/>
              <w:left w:w="100" w:type="dxa"/>
              <w:right w:w="100" w:type="dxa"/>
            </w:tcMar>
            <w:shd w:fill="FFFFFF"/>
          </w:tcPr>
          <w:p>
            <w:pPr>
              <w:spacing w:after="0" w:line="252" w:lineRule="auto"/>
            </w:pPr>
            <w:r>
              <w:rPr>
                <w:b w:val="0"/>
                <w:sz w:val="19"/>
              </w:rPr>
              <w:t>Verify the production worker is JavaScript and the artifact exists</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PDF export rejects Unicode</w:t>
            </w:r>
          </w:p>
        </w:tc>
        <w:tc>
          <w:tcPr>
            <w:tcW w:type="dxa" w:w="3888"/>
            <w:vAlign w:val="center"/>
            <w:tcMar>
              <w:top w:w="90" w:type="dxa"/>
              <w:bottom w:w="90" w:type="dxa"/>
              <w:left w:w="100" w:type="dxa"/>
              <w:right w:w="100" w:type="dxa"/>
            </w:tcMar>
            <w:shd w:fill="F5F8FA"/>
          </w:tcPr>
          <w:p>
            <w:pPr>
              <w:spacing w:after="0" w:line="252" w:lineRule="auto"/>
            </w:pPr>
            <w:r>
              <w:rPr>
                <w:b w:val="0"/>
                <w:sz w:val="19"/>
              </w:rPr>
              <w:t>pdf_font_unavailable error</w:t>
            </w:r>
          </w:p>
        </w:tc>
        <w:tc>
          <w:tcPr>
            <w:tcW w:type="dxa" w:w="3413"/>
            <w:vAlign w:val="center"/>
            <w:tcMar>
              <w:top w:w="90" w:type="dxa"/>
              <w:bottom w:w="90" w:type="dxa"/>
              <w:left w:w="100" w:type="dxa"/>
              <w:right w:w="100" w:type="dxa"/>
            </w:tcMar>
            <w:shd w:fill="F5F8FA"/>
          </w:tcPr>
          <w:p>
            <w:pPr>
              <w:spacing w:after="0" w:line="252" w:lineRule="auto"/>
            </w:pPr>
            <w:r>
              <w:rPr>
                <w:b w:val="0"/>
                <w:sz w:val="19"/>
              </w:rPr>
              <w:t>Use DOCX or Markdown until suitable PDF fonts are implemented</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Sarvam read aloud fails</w:t>
            </w:r>
          </w:p>
        </w:tc>
        <w:tc>
          <w:tcPr>
            <w:tcW w:type="dxa" w:w="3888"/>
            <w:vAlign w:val="center"/>
            <w:tcMar>
              <w:top w:w="90" w:type="dxa"/>
              <w:bottom w:w="90" w:type="dxa"/>
              <w:left w:w="100" w:type="dxa"/>
              <w:right w:w="100" w:type="dxa"/>
            </w:tcMar>
            <w:shd w:fill="FFFFFF"/>
          </w:tcPr>
          <w:p>
            <w:pPr>
              <w:spacing w:after="0" w:line="252" w:lineRule="auto"/>
            </w:pPr>
            <w:r>
              <w:rPr>
                <w:b w:val="0"/>
                <w:sz w:val="19"/>
              </w:rPr>
              <w:t>Backend key provider error and browser playback</w:t>
            </w:r>
          </w:p>
        </w:tc>
        <w:tc>
          <w:tcPr>
            <w:tcW w:type="dxa" w:w="3413"/>
            <w:vAlign w:val="center"/>
            <w:tcMar>
              <w:top w:w="90" w:type="dxa"/>
              <w:bottom w:w="90" w:type="dxa"/>
              <w:left w:w="100" w:type="dxa"/>
              <w:right w:w="100" w:type="dxa"/>
            </w:tcMar>
            <w:shd w:fill="FFFFFF"/>
          </w:tcPr>
          <w:p>
            <w:pPr>
              <w:spacing w:after="0" w:line="252" w:lineRule="auto"/>
            </w:pPr>
            <w:r>
              <w:rPr>
                <w:b w:val="0"/>
                <w:sz w:val="19"/>
              </w:rPr>
              <w:t>Recreate the backend after configuring its key and inspect explicit error codes</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Test exits 137</w:t>
            </w:r>
          </w:p>
        </w:tc>
        <w:tc>
          <w:tcPr>
            <w:tcW w:type="dxa" w:w="3888"/>
            <w:vAlign w:val="center"/>
            <w:tcMar>
              <w:top w:w="90" w:type="dxa"/>
              <w:bottom w:w="90" w:type="dxa"/>
              <w:left w:w="100" w:type="dxa"/>
              <w:right w:w="100" w:type="dxa"/>
            </w:tcMar>
            <w:shd w:fill="F5F8FA"/>
          </w:tcPr>
          <w:p>
            <w:pPr>
              <w:spacing w:after="0" w:line="252" w:lineRule="auto"/>
            </w:pPr>
            <w:r>
              <w:rPr>
                <w:b w:val="0"/>
                <w:sz w:val="19"/>
              </w:rPr>
              <w:t>Container memory and duplicate verifier processes</w:t>
            </w:r>
          </w:p>
        </w:tc>
        <w:tc>
          <w:tcPr>
            <w:tcW w:type="dxa" w:w="3413"/>
            <w:vAlign w:val="center"/>
            <w:tcMar>
              <w:top w:w="90" w:type="dxa"/>
              <w:bottom w:w="90" w:type="dxa"/>
              <w:left w:w="100" w:type="dxa"/>
              <w:right w:w="100" w:type="dxa"/>
            </w:tcMar>
            <w:shd w:fill="F5F8FA"/>
          </w:tcPr>
          <w:p>
            <w:pPr>
              <w:spacing w:after="0" w:line="252" w:lineRule="auto"/>
            </w:pPr>
            <w:r>
              <w:rPr>
                <w:b w:val="0"/>
                <w:sz w:val="19"/>
              </w:rPr>
              <w:t>Use make test maintenance isolation and repeat memory measurement</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Source check fails</w:t>
            </w:r>
          </w:p>
        </w:tc>
        <w:tc>
          <w:tcPr>
            <w:tcW w:type="dxa" w:w="3888"/>
            <w:vAlign w:val="center"/>
            <w:tcMar>
              <w:top w:w="90" w:type="dxa"/>
              <w:bottom w:w="90" w:type="dxa"/>
              <w:left w:w="100" w:type="dxa"/>
              <w:right w:w="100" w:type="dxa"/>
            </w:tcMar>
            <w:shd w:fill="FFFFFF"/>
          </w:tcPr>
          <w:p>
            <w:pPr>
              <w:spacing w:after="0" w:line="252" w:lineRule="auto"/>
            </w:pPr>
            <w:r>
              <w:rPr>
                <w:b w:val="0"/>
                <w:sz w:val="19"/>
              </w:rPr>
              <w:t>Official URL timeout/connection result</w:t>
            </w:r>
          </w:p>
        </w:tc>
        <w:tc>
          <w:tcPr>
            <w:tcW w:type="dxa" w:w="3413"/>
            <w:vAlign w:val="center"/>
            <w:tcMar>
              <w:top w:w="90" w:type="dxa"/>
              <w:bottom w:w="90" w:type="dxa"/>
              <w:left w:w="100" w:type="dxa"/>
              <w:right w:w="100" w:type="dxa"/>
            </w:tcMar>
            <w:shd w:fill="FFFFFF"/>
          </w:tcPr>
          <w:p>
            <w:pPr>
              <w:spacing w:after="0" w:line="252" w:lineRule="auto"/>
            </w:pPr>
            <w:r>
              <w:rPr>
                <w:b w:val="0"/>
                <w:sz w:val="19"/>
              </w:rPr>
              <w:t>Currentness remains unconfirmed and no failed candidate should promote</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Approval or promotion fails</w:t>
            </w:r>
          </w:p>
        </w:tc>
        <w:tc>
          <w:tcPr>
            <w:tcW w:type="dxa" w:w="3888"/>
            <w:vAlign w:val="center"/>
            <w:tcMar>
              <w:top w:w="90" w:type="dxa"/>
              <w:bottom w:w="90" w:type="dxa"/>
              <w:left w:w="100" w:type="dxa"/>
              <w:right w:w="100" w:type="dxa"/>
            </w:tcMar>
            <w:shd w:fill="F5F8FA"/>
          </w:tcPr>
          <w:p>
            <w:pPr>
              <w:spacing w:after="0" w:line="252" w:lineRule="auto"/>
            </w:pPr>
            <w:r>
              <w:rPr>
                <w:b w:val="0"/>
                <w:sz w:val="19"/>
              </w:rPr>
              <w:t>Quality issues report hash source/vector changes</w:t>
            </w:r>
          </w:p>
        </w:tc>
        <w:tc>
          <w:tcPr>
            <w:tcW w:type="dxa" w:w="3413"/>
            <w:vAlign w:val="center"/>
            <w:tcMar>
              <w:top w:w="90" w:type="dxa"/>
              <w:bottom w:w="90" w:type="dxa"/>
              <w:left w:w="100" w:type="dxa"/>
              <w:right w:w="100" w:type="dxa"/>
            </w:tcMar>
            <w:shd w:fill="F5F8FA"/>
          </w:tcPr>
          <w:p>
            <w:pPr>
              <w:spacing w:after="0" w:line="252" w:lineRule="auto"/>
            </w:pPr>
            <w:r>
              <w:rPr>
                <w:b w:val="0"/>
                <w:sz w:val="19"/>
              </w:rPr>
              <w:t>Repair and rerun review then obtain fresh reviewer approval</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Rate limit gives 429</w:t>
            </w:r>
          </w:p>
        </w:tc>
        <w:tc>
          <w:tcPr>
            <w:tcW w:type="dxa" w:w="3888"/>
            <w:vAlign w:val="center"/>
            <w:tcMar>
              <w:top w:w="90" w:type="dxa"/>
              <w:bottom w:w="90" w:type="dxa"/>
              <w:left w:w="100" w:type="dxa"/>
              <w:right w:w="100" w:type="dxa"/>
            </w:tcMar>
            <w:shd w:fill="FFFFFF"/>
          </w:tcPr>
          <w:p>
            <w:pPr>
              <w:spacing w:after="0" w:line="252" w:lineRule="auto"/>
            </w:pPr>
            <w:r>
              <w:rPr>
                <w:b w:val="0"/>
                <w:sz w:val="19"/>
              </w:rPr>
              <w:t>Requests in the current window</w:t>
            </w:r>
          </w:p>
        </w:tc>
        <w:tc>
          <w:tcPr>
            <w:tcW w:type="dxa" w:w="3413"/>
            <w:vAlign w:val="center"/>
            <w:tcMar>
              <w:top w:w="90" w:type="dxa"/>
              <w:bottom w:w="90" w:type="dxa"/>
              <w:left w:w="100" w:type="dxa"/>
              <w:right w:w="100" w:type="dxa"/>
            </w:tcMar>
            <w:shd w:fill="FFFFFF"/>
          </w:tcPr>
          <w:p>
            <w:pPr>
              <w:spacing w:after="0" w:line="252" w:lineRule="auto"/>
            </w:pPr>
            <w:r>
              <w:rPr>
                <w:b w:val="0"/>
                <w:sz w:val="19"/>
              </w:rPr>
              <w:t>Wait for retry-after rather than repeatedly resubmitting</w:t>
            </w:r>
          </w:p>
        </w:tc>
      </w:tr>
    </w:tbl>
    <w:p>
      <w:pPr>
        <w:spacing w:after="20" w:before="0" w:line="240" w:lineRule="auto"/>
      </w:pPr>
      <w:r>
        <w:rPr>
          <w:sz w:val="2"/>
        </w:rPr>
      </w:r>
    </w:p>
    <w:p>
      <w:r>
        <w:t>The normal rate setting is 120 requests per 60 seconds by request client identity. The app does not trust forwarded identity headers by default. A proxy can group local users under one backend client identity, so this is a demo limit rather than a complete per-user quota system.</w:t>
      </w:r>
    </w:p>
    <w:p>
      <w:bookmarkStart w:id="11" w:name="section_11"/>
      <w:pPr>
        <w:pStyle w:val="Heading1"/>
      </w:pPr>
      <w:r>
        <w:t>12 Acceptance and remaining work</w:t>
      </w:r>
      <w:bookmarkEnd w:id="11"/>
    </w:p>
    <w:p>
      <w:pPr>
        <w:pStyle w:val="Heading2"/>
      </w:pPr>
      <w:r>
        <w:t>Acceptance decision</w:t>
      </w:r>
    </w:p>
    <w:p>
      <w:r>
        <w:t>Application acceptance requires real schema-valid model output, supported claims, correct citation artifacts, valid proofs, persistent authorized history, production UI rendering and a representative memory result. Unit tests and fixture screenshots are supporting evidence, not replacements for that live path. Milestone M1 can show extracts; M2 requires at least an answerable question with verified synthesized claims and citations end to end.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88"/>
        <w:gridCol w:w="3413"/>
      </w:tblGrid>
      <w:tr>
        <w:trPr>
          <w:tblHeader/>
          <w:cantSplit/>
        </w:trPr>
        <w:tc>
          <w:tcPr>
            <w:tcW w:type="dxa" w:w="2448"/>
            <w:vAlign w:val="center"/>
            <w:tcMar>
              <w:top w:w="90" w:type="dxa"/>
              <w:bottom w:w="90" w:type="dxa"/>
              <w:left w:w="100" w:type="dxa"/>
              <w:right w:w="100" w:type="dxa"/>
            </w:tcMar>
            <w:shd w:fill="DBEAF2"/>
          </w:tcPr>
          <w:p>
            <w:pPr>
              <w:spacing w:after="0" w:line="252" w:lineRule="auto"/>
            </w:pPr>
            <w:r>
              <w:rPr>
                <w:b/>
                <w:sz w:val="19"/>
              </w:rPr>
              <w:t>Requirement</w:t>
            </w:r>
          </w:p>
        </w:tc>
        <w:tc>
          <w:tcPr>
            <w:tcW w:type="dxa" w:w="3888"/>
            <w:vAlign w:val="center"/>
            <w:tcMar>
              <w:top w:w="90" w:type="dxa"/>
              <w:bottom w:w="90" w:type="dxa"/>
              <w:left w:w="100" w:type="dxa"/>
              <w:right w:w="100" w:type="dxa"/>
            </w:tcMar>
            <w:shd w:fill="DBEAF2"/>
          </w:tcPr>
          <w:p>
            <w:pPr>
              <w:spacing w:after="0" w:line="252" w:lineRule="auto"/>
            </w:pPr>
            <w:r>
              <w:rPr>
                <w:b/>
                <w:sz w:val="19"/>
              </w:rPr>
              <w:t>Current decision</w:t>
            </w:r>
          </w:p>
        </w:tc>
        <w:tc>
          <w:tcPr>
            <w:tcW w:type="dxa" w:w="3413"/>
            <w:vAlign w:val="center"/>
            <w:tcMar>
              <w:top w:w="90" w:type="dxa"/>
              <w:bottom w:w="90" w:type="dxa"/>
              <w:left w:w="100" w:type="dxa"/>
              <w:right w:w="100" w:type="dxa"/>
            </w:tcMar>
            <w:shd w:fill="DBEAF2"/>
          </w:tcPr>
          <w:p>
            <w:pPr>
              <w:spacing w:after="0" w:line="252" w:lineRule="auto"/>
            </w:pPr>
            <w:r>
              <w:rPr>
                <w:b/>
                <w:sz w:val="19"/>
              </w:rPr>
              <w:t>Remaining evidence or work</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Requested local models and schema output</w:t>
            </w:r>
          </w:p>
        </w:tc>
        <w:tc>
          <w:tcPr>
            <w:tcW w:type="dxa" w:w="3888"/>
            <w:vAlign w:val="center"/>
            <w:tcMar>
              <w:top w:w="90" w:type="dxa"/>
              <w:bottom w:w="90" w:type="dxa"/>
              <w:left w:w="100" w:type="dxa"/>
              <w:right w:w="100" w:type="dxa"/>
            </w:tcMar>
            <w:shd w:fill="FFFFFF"/>
          </w:tcPr>
          <w:p>
            <w:pPr>
              <w:spacing w:after="0" w:line="252" w:lineRule="auto"/>
            </w:pPr>
            <w:r>
              <w:rPr>
                <w:b w:val="0"/>
                <w:sz w:val="19"/>
              </w:rPr>
              <w:t>Demonstrated</w:t>
            </w:r>
          </w:p>
        </w:tc>
        <w:tc>
          <w:tcPr>
            <w:tcW w:type="dxa" w:w="3413"/>
            <w:vAlign w:val="center"/>
            <w:tcMar>
              <w:top w:w="90" w:type="dxa"/>
              <w:bottom w:w="90" w:type="dxa"/>
              <w:left w:w="100" w:type="dxa"/>
              <w:right w:w="100" w:type="dxa"/>
            </w:tcMar>
            <w:shd w:fill="FFFFFF"/>
          </w:tcPr>
          <w:p>
            <w:pPr>
              <w:spacing w:after="0" w:line="252" w:lineRule="auto"/>
            </w:pPr>
            <w:r>
              <w:rPr>
                <w:b w:val="0"/>
                <w:sz w:val="19"/>
              </w:rPr>
              <w:t>Repeat after model/runtime changes</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Unavailable generation never looks verified</w:t>
            </w:r>
          </w:p>
        </w:tc>
        <w:tc>
          <w:tcPr>
            <w:tcW w:type="dxa" w:w="3888"/>
            <w:vAlign w:val="center"/>
            <w:tcMar>
              <w:top w:w="90" w:type="dxa"/>
              <w:bottom w:w="90" w:type="dxa"/>
              <w:left w:w="100" w:type="dxa"/>
              <w:right w:w="100" w:type="dxa"/>
            </w:tcMar>
            <w:shd w:fill="F5F8FA"/>
          </w:tcPr>
          <w:p>
            <w:pPr>
              <w:spacing w:after="0" w:line="252" w:lineRule="auto"/>
            </w:pPr>
            <w:r>
              <w:rPr>
                <w:b w:val="0"/>
                <w:sz w:val="19"/>
              </w:rPr>
              <w:t>Demonstrated for tested paths</w:t>
            </w:r>
          </w:p>
        </w:tc>
        <w:tc>
          <w:tcPr>
            <w:tcW w:type="dxa" w:w="3413"/>
            <w:vAlign w:val="center"/>
            <w:tcMar>
              <w:top w:w="90" w:type="dxa"/>
              <w:bottom w:w="90" w:type="dxa"/>
              <w:left w:w="100" w:type="dxa"/>
              <w:right w:w="100" w:type="dxa"/>
            </w:tcMar>
            <w:shd w:fill="F5F8FA"/>
          </w:tcPr>
          <w:p>
            <w:pPr>
              <w:spacing w:after="0" w:line="252" w:lineRule="auto"/>
            </w:pPr>
            <w:r>
              <w:rPr>
                <w:b w:val="0"/>
                <w:sz w:val="19"/>
              </w:rPr>
              <w:t>Keep outage tests in regression</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At least 95 percent routing recognition</w:t>
            </w:r>
          </w:p>
        </w:tc>
        <w:tc>
          <w:tcPr>
            <w:tcW w:type="dxa" w:w="3888"/>
            <w:vAlign w:val="center"/>
            <w:tcMar>
              <w:top w:w="90" w:type="dxa"/>
              <w:bottom w:w="90" w:type="dxa"/>
              <w:left w:w="100" w:type="dxa"/>
              <w:right w:w="100" w:type="dxa"/>
            </w:tcMar>
            <w:shd w:fill="FFFFFF"/>
          </w:tcPr>
          <w:p>
            <w:pPr>
              <w:spacing w:after="0" w:line="252" w:lineRule="auto"/>
            </w:pPr>
            <w:r>
              <w:rPr>
                <w:b w:val="0"/>
                <w:sz w:val="19"/>
              </w:rPr>
              <w:t>Met on the 55-case benchmark</w:t>
            </w:r>
          </w:p>
        </w:tc>
        <w:tc>
          <w:tcPr>
            <w:tcW w:type="dxa" w:w="3413"/>
            <w:vAlign w:val="center"/>
            <w:tcMar>
              <w:top w:w="90" w:type="dxa"/>
              <w:bottom w:w="90" w:type="dxa"/>
              <w:left w:w="100" w:type="dxa"/>
              <w:right w:w="100" w:type="dxa"/>
            </w:tcMar>
            <w:shd w:fill="FFFFFF"/>
          </w:tcPr>
          <w:p>
            <w:pPr>
              <w:spacing w:after="0" w:line="252" w:lineRule="auto"/>
            </w:pPr>
            <w:r>
              <w:rPr>
                <w:b w:val="0"/>
                <w:sz w:val="19"/>
              </w:rPr>
              <w:t>Broaden phrasing and keep no-evidence/out-of-domain sets separate</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Memory no more than 12 GB</w:t>
            </w:r>
          </w:p>
        </w:tc>
        <w:tc>
          <w:tcPr>
            <w:tcW w:type="dxa" w:w="3888"/>
            <w:vAlign w:val="center"/>
            <w:tcMar>
              <w:top w:w="90" w:type="dxa"/>
              <w:bottom w:w="90" w:type="dxa"/>
              <w:left w:w="100" w:type="dxa"/>
              <w:right w:w="100" w:type="dxa"/>
            </w:tcMar>
            <w:shd w:fill="F5F8FA"/>
          </w:tcPr>
          <w:p>
            <w:pPr>
              <w:spacing w:after="0" w:line="252" w:lineRule="auto"/>
            </w:pPr>
            <w:r>
              <w:rPr>
                <w:b w:val="0"/>
                <w:sz w:val="19"/>
              </w:rPr>
              <w:t>Met for sampled representative workload</w:t>
            </w:r>
          </w:p>
        </w:tc>
        <w:tc>
          <w:tcPr>
            <w:tcW w:type="dxa" w:w="3413"/>
            <w:vAlign w:val="center"/>
            <w:tcMar>
              <w:top w:w="90" w:type="dxa"/>
              <w:bottom w:w="90" w:type="dxa"/>
              <w:left w:w="100" w:type="dxa"/>
              <w:right w:w="100" w:type="dxa"/>
            </w:tcMar>
            <w:shd w:fill="F5F8FA"/>
          </w:tcPr>
          <w:p>
            <w:pPr>
              <w:spacing w:after="0" w:line="252" w:lineRule="auto"/>
            </w:pPr>
            <w:r>
              <w:rPr>
                <w:b w:val="0"/>
                <w:sz w:val="19"/>
              </w:rPr>
              <w:t>Repeat across heavier multilingual and both-jurisdiction workloads</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Four-group classification and six outcomes</w:t>
            </w:r>
          </w:p>
        </w:tc>
        <w:tc>
          <w:tcPr>
            <w:tcW w:type="dxa" w:w="3888"/>
            <w:vAlign w:val="center"/>
            <w:tcMar>
              <w:top w:w="90" w:type="dxa"/>
              <w:bottom w:w="90" w:type="dxa"/>
              <w:left w:w="100" w:type="dxa"/>
              <w:right w:w="100" w:type="dxa"/>
            </w:tcMar>
            <w:shd w:fill="FFFFFF"/>
          </w:tcPr>
          <w:p>
            <w:pPr>
              <w:spacing w:after="0" w:line="252" w:lineRule="auto"/>
            </w:pPr>
            <w:r>
              <w:rPr>
                <w:b w:val="0"/>
                <w:sz w:val="19"/>
              </w:rPr>
              <w:t>Automated coverage and one live UI path</w:t>
            </w:r>
          </w:p>
        </w:tc>
        <w:tc>
          <w:tcPr>
            <w:tcW w:type="dxa" w:w="3413"/>
            <w:vAlign w:val="center"/>
            <w:tcMar>
              <w:top w:w="90" w:type="dxa"/>
              <w:bottom w:w="90" w:type="dxa"/>
              <w:left w:w="100" w:type="dxa"/>
              <w:right w:w="100" w:type="dxa"/>
            </w:tcMar>
            <w:shd w:fill="FFFFFF"/>
          </w:tcPr>
          <w:p>
            <w:pPr>
              <w:spacing w:after="0" w:line="252" w:lineRule="auto"/>
            </w:pPr>
            <w:r>
              <w:rPr>
                <w:b w:val="0"/>
                <w:sz w:val="19"/>
              </w:rPr>
              <w:t>Maintain branch tests and obtain regulatory review</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Reload shared access delete and 30-day expiry</w:t>
            </w:r>
          </w:p>
        </w:tc>
        <w:tc>
          <w:tcPr>
            <w:tcW w:type="dxa" w:w="3888"/>
            <w:vAlign w:val="center"/>
            <w:tcMar>
              <w:top w:w="90" w:type="dxa"/>
              <w:bottom w:w="90" w:type="dxa"/>
              <w:left w:w="100" w:type="dxa"/>
              <w:right w:w="100" w:type="dxa"/>
            </w:tcMar>
            <w:shd w:fill="F5F8FA"/>
          </w:tcPr>
          <w:p>
            <w:pPr>
              <w:spacing w:after="0" w:line="252" w:lineRule="auto"/>
            </w:pPr>
            <w:r>
              <w:rPr>
                <w:b w:val="0"/>
                <w:sz w:val="19"/>
              </w:rPr>
              <w:t>Live persistence plus simulated expiry tests</w:t>
            </w:r>
          </w:p>
        </w:tc>
        <w:tc>
          <w:tcPr>
            <w:tcW w:type="dxa" w:w="3413"/>
            <w:vAlign w:val="center"/>
            <w:tcMar>
              <w:top w:w="90" w:type="dxa"/>
              <w:bottom w:w="90" w:type="dxa"/>
              <w:left w:w="100" w:type="dxa"/>
              <w:right w:w="100" w:type="dxa"/>
            </w:tcMar>
            <w:shd w:fill="F5F8FA"/>
          </w:tcPr>
          <w:p>
            <w:pPr>
              <w:spacing w:after="0" w:line="252" w:lineRule="auto"/>
            </w:pPr>
            <w:r>
              <w:rPr>
                <w:b w:val="0"/>
                <w:sz w:val="19"/>
              </w:rPr>
              <w:t>Continue validation as history schema changes</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Production bundled worker and highlight</w:t>
            </w:r>
          </w:p>
        </w:tc>
        <w:tc>
          <w:tcPr>
            <w:tcW w:type="dxa" w:w="3888"/>
            <w:vAlign w:val="center"/>
            <w:tcMar>
              <w:top w:w="90" w:type="dxa"/>
              <w:bottom w:w="90" w:type="dxa"/>
              <w:left w:w="100" w:type="dxa"/>
              <w:right w:w="100" w:type="dxa"/>
            </w:tcMar>
            <w:shd w:fill="FFFFFF"/>
          </w:tcPr>
          <w:p>
            <w:pPr>
              <w:spacing w:after="0" w:line="252" w:lineRule="auto"/>
            </w:pPr>
            <w:r>
              <w:rPr>
                <w:b w:val="0"/>
                <w:sz w:val="19"/>
              </w:rPr>
              <w:t>Demonstrated</w:t>
            </w:r>
          </w:p>
        </w:tc>
        <w:tc>
          <w:tcPr>
            <w:tcW w:type="dxa" w:w="3413"/>
            <w:vAlign w:val="center"/>
            <w:tcMar>
              <w:top w:w="90" w:type="dxa"/>
              <w:bottom w:w="90" w:type="dxa"/>
              <w:left w:w="100" w:type="dxa"/>
              <w:right w:w="100" w:type="dxa"/>
            </w:tcMar>
            <w:shd w:fill="FFFFFF"/>
          </w:tcPr>
          <w:p>
            <w:pPr>
              <w:spacing w:after="0" w:line="252" w:lineRule="auto"/>
            </w:pPr>
            <w:r>
              <w:rPr>
                <w:b w:val="0"/>
                <w:sz w:val="19"/>
              </w:rPr>
              <w:t>Include production assets in upgrade checks</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Promotion with quality and reviewer approval</w:t>
            </w:r>
          </w:p>
        </w:tc>
        <w:tc>
          <w:tcPr>
            <w:tcW w:type="dxa" w:w="3888"/>
            <w:vAlign w:val="center"/>
            <w:tcMar>
              <w:top w:w="90" w:type="dxa"/>
              <w:bottom w:w="90" w:type="dxa"/>
              <w:left w:w="100" w:type="dxa"/>
              <w:right w:w="100" w:type="dxa"/>
            </w:tcMar>
            <w:shd w:fill="F5F8FA"/>
          </w:tcPr>
          <w:p>
            <w:pPr>
              <w:spacing w:after="0" w:line="252" w:lineRule="auto"/>
            </w:pPr>
            <w:r>
              <w:rPr>
                <w:b w:val="0"/>
                <w:sz w:val="19"/>
              </w:rPr>
              <w:t>Controls implemented</w:t>
            </w:r>
          </w:p>
        </w:tc>
        <w:tc>
          <w:tcPr>
            <w:tcW w:type="dxa" w:w="3413"/>
            <w:vAlign w:val="center"/>
            <w:tcMar>
              <w:top w:w="90" w:type="dxa"/>
              <w:bottom w:w="90" w:type="dxa"/>
              <w:left w:w="100" w:type="dxa"/>
              <w:right w:w="100" w:type="dxa"/>
            </w:tcMar>
            <w:shd w:fill="F5F8FA"/>
          </w:tcPr>
          <w:p>
            <w:pPr>
              <w:spacing w:after="0" w:line="252" w:lineRule="auto"/>
            </w:pPr>
            <w:r>
              <w:rPr>
                <w:b w:val="0"/>
                <w:sz w:val="19"/>
              </w:rPr>
              <w:t>Current staged corpus fails quality and remains unapproved</w:t>
            </w:r>
          </w:p>
        </w:tc>
      </w:tr>
      <w:tr>
        <w:trPr>
          <w:cantSplit/>
        </w:trPr>
        <w:tc>
          <w:tcPr>
            <w:tcW w:type="dxa" w:w="2448"/>
            <w:vAlign w:val="center"/>
            <w:tcMar>
              <w:top w:w="90" w:type="dxa"/>
              <w:bottom w:w="90" w:type="dxa"/>
              <w:left w:w="100" w:type="dxa"/>
              <w:right w:w="100" w:type="dxa"/>
            </w:tcMar>
            <w:shd w:fill="FFFFFF"/>
          </w:tcPr>
          <w:p>
            <w:pPr>
              <w:spacing w:after="0" w:line="252" w:lineRule="auto"/>
            </w:pPr>
            <w:r>
              <w:rPr>
                <w:b w:val="0"/>
                <w:sz w:val="19"/>
              </w:rPr>
              <w:t>Fully usable dense Qwen evidence retrieval</w:t>
            </w:r>
          </w:p>
        </w:tc>
        <w:tc>
          <w:tcPr>
            <w:tcW w:type="dxa" w:w="3888"/>
            <w:vAlign w:val="center"/>
            <w:tcMar>
              <w:top w:w="90" w:type="dxa"/>
              <w:bottom w:w="90" w:type="dxa"/>
              <w:left w:w="100" w:type="dxa"/>
              <w:right w:w="100" w:type="dxa"/>
            </w:tcMar>
            <w:shd w:fill="FFFFFF"/>
          </w:tcPr>
          <w:p>
            <w:pPr>
              <w:spacing w:after="0" w:line="252" w:lineRule="auto"/>
            </w:pPr>
            <w:r>
              <w:rPr>
                <w:b w:val="0"/>
                <w:sz w:val="19"/>
              </w:rPr>
              <w:t>Pending live promotion</w:t>
            </w:r>
          </w:p>
        </w:tc>
        <w:tc>
          <w:tcPr>
            <w:tcW w:type="dxa" w:w="3413"/>
            <w:vAlign w:val="center"/>
            <w:tcMar>
              <w:top w:w="90" w:type="dxa"/>
              <w:bottom w:w="90" w:type="dxa"/>
              <w:left w:w="100" w:type="dxa"/>
              <w:right w:w="100" w:type="dxa"/>
            </w:tcMar>
            <w:shd w:fill="FFFFFF"/>
          </w:tcPr>
          <w:p>
            <w:pPr>
              <w:spacing w:after="0" w:line="252" w:lineRule="auto"/>
            </w:pPr>
            <w:r>
              <w:rPr>
                <w:b w:val="0"/>
                <w:sz w:val="19"/>
              </w:rPr>
              <w:t>Repair re-ingest review and approve compatible corpus</w:t>
            </w:r>
          </w:p>
        </w:tc>
      </w:tr>
      <w:tr>
        <w:trPr>
          <w:cantSplit/>
        </w:trPr>
        <w:tc>
          <w:tcPr>
            <w:tcW w:type="dxa" w:w="2448"/>
            <w:vAlign w:val="center"/>
            <w:tcMar>
              <w:top w:w="90" w:type="dxa"/>
              <w:bottom w:w="90" w:type="dxa"/>
              <w:left w:w="100" w:type="dxa"/>
              <w:right w:w="100" w:type="dxa"/>
            </w:tcMar>
            <w:shd w:fill="F5F8FA"/>
          </w:tcPr>
          <w:p>
            <w:pPr>
              <w:spacing w:after="0" w:line="252" w:lineRule="auto"/>
            </w:pPr>
            <w:r>
              <w:rPr>
                <w:b w:val="0"/>
                <w:sz w:val="19"/>
              </w:rPr>
              <w:t>Multilingual legal accuracy and all source coverage</w:t>
            </w:r>
          </w:p>
        </w:tc>
        <w:tc>
          <w:tcPr>
            <w:tcW w:type="dxa" w:w="3888"/>
            <w:vAlign w:val="center"/>
            <w:tcMar>
              <w:top w:w="90" w:type="dxa"/>
              <w:bottom w:w="90" w:type="dxa"/>
              <w:left w:w="100" w:type="dxa"/>
              <w:right w:w="100" w:type="dxa"/>
            </w:tcMar>
            <w:shd w:fill="F5F8FA"/>
          </w:tcPr>
          <w:p>
            <w:pPr>
              <w:spacing w:after="0" w:line="252" w:lineRule="auto"/>
            </w:pPr>
            <w:r>
              <w:rPr>
                <w:b w:val="0"/>
                <w:sz w:val="19"/>
              </w:rPr>
              <w:t>Not established</w:t>
            </w:r>
          </w:p>
        </w:tc>
        <w:tc>
          <w:tcPr>
            <w:tcW w:type="dxa" w:w="3413"/>
            <w:vAlign w:val="center"/>
            <w:tcMar>
              <w:top w:w="90" w:type="dxa"/>
              <w:bottom w:w="90" w:type="dxa"/>
              <w:left w:w="100" w:type="dxa"/>
              <w:right w:w="100" w:type="dxa"/>
            </w:tcMar>
            <w:shd w:fill="F5F8FA"/>
          </w:tcPr>
          <w:p>
            <w:pPr>
              <w:spacing w:after="0" w:line="252" w:lineRule="auto"/>
            </w:pPr>
            <w:r>
              <w:rPr>
                <w:b w:val="0"/>
                <w:sz w:val="19"/>
              </w:rPr>
              <w:t>Larger expert-reviewed golden set and additional official sources</w:t>
            </w:r>
          </w:p>
        </w:tc>
      </w:tr>
    </w:tbl>
    <w:p>
      <w:pPr>
        <w:spacing w:after="20" w:before="0" w:line="240" w:lineRule="auto"/>
      </w:pPr>
      <w:r>
        <w:rPr>
          <w:sz w:val="2"/>
        </w:rPr>
      </w:r>
    </w:p>
    <w:p>
      <w:pPr>
        <w:pStyle w:val="Heading2"/>
      </w:pPr>
      <w:r>
        <w:t>Required next work</w:t>
      </w:r>
    </w:p>
    <w:p>
      <w:r>
        <w:t>Repair rule parsing, missing text, OCR/layout and highlight coordinates from the official PDFs. Re-ingest the corrected extraction into a fresh compatible stage. Compare actual operative provisions and amendments, not just an aggregate percentage. Rerun quality and retrieval evaluations and have a named reviewer approve the exact passing report before promotion.</w:t>
      </w:r>
    </w:p>
    <w:p>
      <w:r>
        <w:t>Expand answer-quality evaluation beyond the ten retrieval questions and one demonstrated synthesis path. Include direct/weak/indirect phrasings, both jurisdictions, meaningful date cases, negative/conditional provisions, translated claims and source gaps. Measure final-answer faithfulness independently of retrieval recall. Calibrate confidence and obtain review of draft classification, patent and ABS behavior before stronger legal claims.</w:t>
      </w:r>
    </w:p>
    <w:p>
      <w:r>
        <w:t>Complete missing official-source coverage deliberately and obtain authorized TKDL access before connecting a live search. Add speech recognition and Unicode PDF fonts only with actual runtime tests; maintain actual Sarvam TTS playback tests. Define separate retention for escalation contacts and old audit payloads if this demo is to handle sensitive data beyond the current shared-workspace scope.</w:t>
      </w:r>
    </w:p>
    <w:p>
      <w:pPr>
        <w:pStyle w:val="Heading2"/>
      </w:pPr>
      <w:r>
        <w:t>Record a reproducible test run</w:t>
      </w:r>
    </w:p>
    <w:p>
      <w:r>
        <w:t>For every release record the code revision or working-tree snapshot, date, machine memory, Docker/Ollama versions, exact model tags, live corpus and embedding compatibility, tested questions, commands, pass/fail counts and artifact paths. Preserve failure outputs without credentials. Identify who reviewed the corpus and the approved report hash. Never write a reviewer name, memory number, measured faithfulness or answer claim that did not actually occur.</w:t>
      </w:r>
    </w:p>
    <w:p>
      <w:bookmarkStart w:id="12" w:name="section_12"/>
      <w:pPr>
        <w:pStyle w:val="Heading1"/>
      </w:pPr>
      <w:r>
        <w:t>Appendix A API reference</w:t>
      </w:r>
      <w:bookmarkEnd w:id="12"/>
    </w:p>
    <w:p>
      <w:r>
        <w:t>All routes below are relative to http://localhost:8080 and include /v1. OpenAPI is generated from backend schemas into contracts/openapi.yaml. The standard FastAPI /docs and /openapi.json are available on the direct backend port 8000, rather than through the frontend's SPA routes. Query responses use SSE; most other routes return JSON or a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6192"/>
        <w:gridCol w:w="2549"/>
      </w:tblGrid>
      <w:tr>
        <w:trPr>
          <w:tblHeader/>
          <w:cantSplit/>
        </w:trPr>
        <w:tc>
          <w:tcPr>
            <w:tcW w:type="dxa" w:w="1008"/>
            <w:vAlign w:val="center"/>
            <w:tcMar>
              <w:top w:w="90" w:type="dxa"/>
              <w:bottom w:w="90" w:type="dxa"/>
              <w:left w:w="100" w:type="dxa"/>
              <w:right w:w="100" w:type="dxa"/>
            </w:tcMar>
            <w:shd w:fill="DBEAF2"/>
          </w:tcPr>
          <w:p>
            <w:pPr>
              <w:spacing w:after="0" w:line="252" w:lineRule="auto"/>
            </w:pPr>
            <w:r>
              <w:rPr>
                <w:b/>
                <w:sz w:val="19"/>
              </w:rPr>
              <w:t>Method</w:t>
            </w:r>
          </w:p>
        </w:tc>
        <w:tc>
          <w:tcPr>
            <w:tcW w:type="dxa" w:w="6192"/>
            <w:vAlign w:val="center"/>
            <w:tcMar>
              <w:top w:w="90" w:type="dxa"/>
              <w:bottom w:w="90" w:type="dxa"/>
              <w:left w:w="100" w:type="dxa"/>
              <w:right w:w="100" w:type="dxa"/>
            </w:tcMar>
            <w:shd w:fill="DBEAF2"/>
          </w:tcPr>
          <w:p>
            <w:pPr>
              <w:spacing w:after="0" w:line="252" w:lineRule="auto"/>
            </w:pPr>
            <w:r>
              <w:rPr>
                <w:b/>
                <w:sz w:val="19"/>
              </w:rPr>
              <w:t>Route</w:t>
            </w:r>
          </w:p>
        </w:tc>
        <w:tc>
          <w:tcPr>
            <w:tcW w:type="dxa" w:w="2549"/>
            <w:vAlign w:val="center"/>
            <w:tcMar>
              <w:top w:w="90" w:type="dxa"/>
              <w:bottom w:w="90" w:type="dxa"/>
              <w:left w:w="100" w:type="dxa"/>
              <w:right w:w="100" w:type="dxa"/>
            </w:tcMar>
            <w:shd w:fill="DBEAF2"/>
          </w:tcPr>
          <w:p>
            <w:pPr>
              <w:spacing w:after="0" w:line="252" w:lineRule="auto"/>
            </w:pPr>
            <w:r>
              <w:rPr>
                <w:b/>
                <w:sz w:val="19"/>
              </w:rPr>
              <w:t>Access</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GET</w:t>
            </w:r>
          </w:p>
        </w:tc>
        <w:tc>
          <w:tcPr>
            <w:tcW w:type="dxa" w:w="6192"/>
            <w:vAlign w:val="center"/>
            <w:tcMar>
              <w:top w:w="90" w:type="dxa"/>
              <w:bottom w:w="90" w:type="dxa"/>
              <w:left w:w="100" w:type="dxa"/>
              <w:right w:w="100" w:type="dxa"/>
            </w:tcMar>
            <w:shd w:fill="FFFFFF"/>
          </w:tcPr>
          <w:p>
            <w:pPr>
              <w:spacing w:after="0" w:line="252" w:lineRule="auto"/>
            </w:pPr>
            <w:r>
              <w:rPr>
                <w:b w:val="0"/>
                <w:sz w:val="19"/>
              </w:rPr>
              <w:t>/v1/health</w:t>
            </w:r>
          </w:p>
        </w:tc>
        <w:tc>
          <w:tcPr>
            <w:tcW w:type="dxa" w:w="2549"/>
            <w:vAlign w:val="center"/>
            <w:tcMar>
              <w:top w:w="90" w:type="dxa"/>
              <w:bottom w:w="90" w:type="dxa"/>
              <w:left w:w="100" w:type="dxa"/>
              <w:right w:w="100" w:type="dxa"/>
            </w:tcMar>
            <w:shd w:fill="FFFFFF"/>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POST</w:t>
            </w:r>
          </w:p>
        </w:tc>
        <w:tc>
          <w:tcPr>
            <w:tcW w:type="dxa" w:w="6192"/>
            <w:vAlign w:val="center"/>
            <w:tcMar>
              <w:top w:w="90" w:type="dxa"/>
              <w:bottom w:w="90" w:type="dxa"/>
              <w:left w:w="100" w:type="dxa"/>
              <w:right w:w="100" w:type="dxa"/>
            </w:tcMar>
            <w:shd w:fill="F5F8FA"/>
          </w:tcPr>
          <w:p>
            <w:pPr>
              <w:spacing w:after="0" w:line="252" w:lineRule="auto"/>
            </w:pPr>
            <w:r>
              <w:rPr>
                <w:b w:val="0"/>
                <w:sz w:val="19"/>
              </w:rPr>
              <w:t>/v1/query</w:t>
            </w:r>
          </w:p>
        </w:tc>
        <w:tc>
          <w:tcPr>
            <w:tcW w:type="dxa" w:w="2549"/>
            <w:vAlign w:val="center"/>
            <w:tcMar>
              <w:top w:w="90" w:type="dxa"/>
              <w:bottom w:w="90" w:type="dxa"/>
              <w:left w:w="100" w:type="dxa"/>
              <w:right w:w="100" w:type="dxa"/>
            </w:tcMar>
            <w:shd w:fill="F5F8FA"/>
          </w:tcPr>
          <w:p>
            <w:pPr>
              <w:spacing w:after="0" w:line="252" w:lineRule="auto"/>
            </w:pPr>
            <w:r>
              <w:rPr>
                <w:b w:val="0"/>
                <w:sz w:val="19"/>
              </w:rPr>
              <w:t>Key if conversation</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POST</w:t>
            </w:r>
          </w:p>
        </w:tc>
        <w:tc>
          <w:tcPr>
            <w:tcW w:type="dxa" w:w="6192"/>
            <w:vAlign w:val="center"/>
            <w:tcMar>
              <w:top w:w="90" w:type="dxa"/>
              <w:bottom w:w="90" w:type="dxa"/>
              <w:left w:w="100" w:type="dxa"/>
              <w:right w:w="100" w:type="dxa"/>
            </w:tcMar>
            <w:shd w:fill="FFFFFF"/>
          </w:tcPr>
          <w:p>
            <w:pPr>
              <w:spacing w:after="0" w:line="252" w:lineRule="auto"/>
            </w:pPr>
            <w:r>
              <w:rPr>
                <w:b w:val="0"/>
                <w:sz w:val="19"/>
              </w:rPr>
              <w:t>/v1/conversations</w:t>
            </w:r>
          </w:p>
        </w:tc>
        <w:tc>
          <w:tcPr>
            <w:tcW w:type="dxa" w:w="2549"/>
            <w:vAlign w:val="center"/>
            <w:tcMar>
              <w:top w:w="90" w:type="dxa"/>
              <w:bottom w:w="90" w:type="dxa"/>
              <w:left w:w="100" w:type="dxa"/>
              <w:right w:w="100" w:type="dxa"/>
            </w:tcMar>
            <w:shd w:fill="FFFFFF"/>
          </w:tcPr>
          <w:p>
            <w:pPr>
              <w:spacing w:after="0" w:line="252" w:lineRule="auto"/>
            </w:pPr>
            <w:r>
              <w:rPr>
                <w:b w:val="0"/>
                <w:sz w:val="19"/>
              </w:rPr>
              <w:t>Workspace key</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GET</w:t>
            </w:r>
          </w:p>
        </w:tc>
        <w:tc>
          <w:tcPr>
            <w:tcW w:type="dxa" w:w="6192"/>
            <w:vAlign w:val="center"/>
            <w:tcMar>
              <w:top w:w="90" w:type="dxa"/>
              <w:bottom w:w="90" w:type="dxa"/>
              <w:left w:w="100" w:type="dxa"/>
              <w:right w:w="100" w:type="dxa"/>
            </w:tcMar>
            <w:shd w:fill="F5F8FA"/>
          </w:tcPr>
          <w:p>
            <w:pPr>
              <w:spacing w:after="0" w:line="252" w:lineRule="auto"/>
            </w:pPr>
            <w:r>
              <w:rPr>
                <w:b w:val="0"/>
                <w:sz w:val="19"/>
              </w:rPr>
              <w:t>/v1/conversations</w:t>
            </w:r>
          </w:p>
        </w:tc>
        <w:tc>
          <w:tcPr>
            <w:tcW w:type="dxa" w:w="2549"/>
            <w:vAlign w:val="center"/>
            <w:tcMar>
              <w:top w:w="90" w:type="dxa"/>
              <w:bottom w:w="90" w:type="dxa"/>
              <w:left w:w="100" w:type="dxa"/>
              <w:right w:w="100" w:type="dxa"/>
            </w:tcMar>
            <w:shd w:fill="F5F8FA"/>
          </w:tcPr>
          <w:p>
            <w:pPr>
              <w:spacing w:after="0" w:line="252" w:lineRule="auto"/>
            </w:pPr>
            <w:r>
              <w:rPr>
                <w:b w:val="0"/>
                <w:sz w:val="19"/>
              </w:rPr>
              <w:t>Workspace key</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GET</w:t>
            </w:r>
          </w:p>
        </w:tc>
        <w:tc>
          <w:tcPr>
            <w:tcW w:type="dxa" w:w="6192"/>
            <w:vAlign w:val="center"/>
            <w:tcMar>
              <w:top w:w="90" w:type="dxa"/>
              <w:bottom w:w="90" w:type="dxa"/>
              <w:left w:w="100" w:type="dxa"/>
              <w:right w:w="100" w:type="dxa"/>
            </w:tcMar>
            <w:shd w:fill="FFFFFF"/>
          </w:tcPr>
          <w:p>
            <w:pPr>
              <w:spacing w:after="0" w:line="252" w:lineRule="auto"/>
            </w:pPr>
            <w:r>
              <w:rPr>
                <w:b w:val="0"/>
                <w:sz w:val="19"/>
              </w:rPr>
              <w:t>/v1/conversations/{conversation_id}</w:t>
            </w:r>
          </w:p>
        </w:tc>
        <w:tc>
          <w:tcPr>
            <w:tcW w:type="dxa" w:w="2549"/>
            <w:vAlign w:val="center"/>
            <w:tcMar>
              <w:top w:w="90" w:type="dxa"/>
              <w:bottom w:w="90" w:type="dxa"/>
              <w:left w:w="100" w:type="dxa"/>
              <w:right w:w="100" w:type="dxa"/>
            </w:tcMar>
            <w:shd w:fill="FFFFFF"/>
          </w:tcPr>
          <w:p>
            <w:pPr>
              <w:spacing w:after="0" w:line="252" w:lineRule="auto"/>
            </w:pPr>
            <w:r>
              <w:rPr>
                <w:b w:val="0"/>
                <w:sz w:val="19"/>
              </w:rPr>
              <w:t>Workspace key</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DELETE</w:t>
            </w:r>
          </w:p>
        </w:tc>
        <w:tc>
          <w:tcPr>
            <w:tcW w:type="dxa" w:w="6192"/>
            <w:vAlign w:val="center"/>
            <w:tcMar>
              <w:top w:w="90" w:type="dxa"/>
              <w:bottom w:w="90" w:type="dxa"/>
              <w:left w:w="100" w:type="dxa"/>
              <w:right w:w="100" w:type="dxa"/>
            </w:tcMar>
            <w:shd w:fill="F5F8FA"/>
          </w:tcPr>
          <w:p>
            <w:pPr>
              <w:spacing w:after="0" w:line="252" w:lineRule="auto"/>
            </w:pPr>
            <w:r>
              <w:rPr>
                <w:b w:val="0"/>
                <w:sz w:val="19"/>
              </w:rPr>
              <w:t>/v1/conversations/{conversation_id}</w:t>
            </w:r>
          </w:p>
        </w:tc>
        <w:tc>
          <w:tcPr>
            <w:tcW w:type="dxa" w:w="2549"/>
            <w:vAlign w:val="center"/>
            <w:tcMar>
              <w:top w:w="90" w:type="dxa"/>
              <w:bottom w:w="90" w:type="dxa"/>
              <w:left w:w="100" w:type="dxa"/>
              <w:right w:w="100" w:type="dxa"/>
            </w:tcMar>
            <w:shd w:fill="F5F8FA"/>
          </w:tcPr>
          <w:p>
            <w:pPr>
              <w:spacing w:after="0" w:line="252" w:lineRule="auto"/>
            </w:pPr>
            <w:r>
              <w:rPr>
                <w:b w:val="0"/>
                <w:sz w:val="19"/>
              </w:rPr>
              <w:t>Workspace key</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GET</w:t>
            </w:r>
          </w:p>
        </w:tc>
        <w:tc>
          <w:tcPr>
            <w:tcW w:type="dxa" w:w="6192"/>
            <w:vAlign w:val="center"/>
            <w:tcMar>
              <w:top w:w="90" w:type="dxa"/>
              <w:bottom w:w="90" w:type="dxa"/>
              <w:left w:w="100" w:type="dxa"/>
              <w:right w:w="100" w:type="dxa"/>
            </w:tcMar>
            <w:shd w:fill="FFFFFF"/>
          </w:tcPr>
          <w:p>
            <w:pPr>
              <w:spacing w:after="0" w:line="252" w:lineRule="auto"/>
            </w:pPr>
            <w:r>
              <w:rPr>
                <w:b w:val="0"/>
                <w:sz w:val="19"/>
              </w:rPr>
              <w:t>/v1/requests/{request_id}</w:t>
            </w:r>
          </w:p>
        </w:tc>
        <w:tc>
          <w:tcPr>
            <w:tcW w:type="dxa" w:w="2549"/>
            <w:vAlign w:val="center"/>
            <w:tcMar>
              <w:top w:w="90" w:type="dxa"/>
              <w:bottom w:w="90" w:type="dxa"/>
              <w:left w:w="100" w:type="dxa"/>
              <w:right w:w="100" w:type="dxa"/>
            </w:tcMar>
            <w:shd w:fill="FFFFFF"/>
          </w:tcPr>
          <w:p>
            <w:pPr>
              <w:spacing w:after="0" w:line="252" w:lineRule="auto"/>
            </w:pPr>
            <w:r>
              <w:rPr>
                <w:b w:val="0"/>
                <w:sz w:val="19"/>
              </w:rPr>
              <w:t>Workspace key</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GET</w:t>
            </w:r>
          </w:p>
        </w:tc>
        <w:tc>
          <w:tcPr>
            <w:tcW w:type="dxa" w:w="6192"/>
            <w:vAlign w:val="center"/>
            <w:tcMar>
              <w:top w:w="90" w:type="dxa"/>
              <w:bottom w:w="90" w:type="dxa"/>
              <w:left w:w="100" w:type="dxa"/>
              <w:right w:w="100" w:type="dxa"/>
            </w:tcMar>
            <w:shd w:fill="F5F8FA"/>
          </w:tcPr>
          <w:p>
            <w:pPr>
              <w:spacing w:after="0" w:line="252" w:lineRule="auto"/>
            </w:pPr>
            <w:r>
              <w:rPr>
                <w:b w:val="0"/>
                <w:sz w:val="19"/>
              </w:rPr>
              <w:t>/v1/case-file</w:t>
            </w:r>
          </w:p>
        </w:tc>
        <w:tc>
          <w:tcPr>
            <w:tcW w:type="dxa" w:w="2549"/>
            <w:vAlign w:val="center"/>
            <w:tcMar>
              <w:top w:w="90" w:type="dxa"/>
              <w:bottom w:w="90" w:type="dxa"/>
              <w:left w:w="100" w:type="dxa"/>
              <w:right w:w="100" w:type="dxa"/>
            </w:tcMar>
            <w:shd w:fill="F5F8FA"/>
          </w:tcPr>
          <w:p>
            <w:pPr>
              <w:spacing w:after="0" w:line="252" w:lineRule="auto"/>
            </w:pPr>
            <w:r>
              <w:rPr>
                <w:b w:val="0"/>
                <w:sz w:val="19"/>
              </w:rPr>
              <w:t>Workspace key</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PUT</w:t>
            </w:r>
          </w:p>
        </w:tc>
        <w:tc>
          <w:tcPr>
            <w:tcW w:type="dxa" w:w="6192"/>
            <w:vAlign w:val="center"/>
            <w:tcMar>
              <w:top w:w="90" w:type="dxa"/>
              <w:bottom w:w="90" w:type="dxa"/>
              <w:left w:w="100" w:type="dxa"/>
              <w:right w:w="100" w:type="dxa"/>
            </w:tcMar>
            <w:shd w:fill="FFFFFF"/>
          </w:tcPr>
          <w:p>
            <w:pPr>
              <w:spacing w:after="0" w:line="252" w:lineRule="auto"/>
            </w:pPr>
            <w:r>
              <w:rPr>
                <w:b w:val="0"/>
                <w:sz w:val="19"/>
              </w:rPr>
              <w:t>/v1/case-file</w:t>
            </w:r>
          </w:p>
        </w:tc>
        <w:tc>
          <w:tcPr>
            <w:tcW w:type="dxa" w:w="2549"/>
            <w:vAlign w:val="center"/>
            <w:tcMar>
              <w:top w:w="90" w:type="dxa"/>
              <w:bottom w:w="90" w:type="dxa"/>
              <w:left w:w="100" w:type="dxa"/>
              <w:right w:w="100" w:type="dxa"/>
            </w:tcMar>
            <w:shd w:fill="FFFFFF"/>
          </w:tcPr>
          <w:p>
            <w:pPr>
              <w:spacing w:after="0" w:line="252" w:lineRule="auto"/>
            </w:pPr>
            <w:r>
              <w:rPr>
                <w:b w:val="0"/>
                <w:sz w:val="19"/>
              </w:rPr>
              <w:t>Workspace key</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POST</w:t>
            </w:r>
          </w:p>
        </w:tc>
        <w:tc>
          <w:tcPr>
            <w:tcW w:type="dxa" w:w="6192"/>
            <w:vAlign w:val="center"/>
            <w:tcMar>
              <w:top w:w="90" w:type="dxa"/>
              <w:bottom w:w="90" w:type="dxa"/>
              <w:left w:w="100" w:type="dxa"/>
              <w:right w:w="100" w:type="dxa"/>
            </w:tcMar>
            <w:shd w:fill="F5F8FA"/>
          </w:tcPr>
          <w:p>
            <w:pPr>
              <w:spacing w:after="0" w:line="252" w:lineRule="auto"/>
            </w:pPr>
            <w:r>
              <w:rPr>
                <w:b w:val="0"/>
                <w:sz w:val="19"/>
              </w:rPr>
              <w:t>/v1/case-file/{request_id}</w:t>
            </w:r>
          </w:p>
        </w:tc>
        <w:tc>
          <w:tcPr>
            <w:tcW w:type="dxa" w:w="2549"/>
            <w:vAlign w:val="center"/>
            <w:tcMar>
              <w:top w:w="90" w:type="dxa"/>
              <w:bottom w:w="90" w:type="dxa"/>
              <w:left w:w="100" w:type="dxa"/>
              <w:right w:w="100" w:type="dxa"/>
            </w:tcMar>
            <w:shd w:fill="F5F8FA"/>
          </w:tcPr>
          <w:p>
            <w:pPr>
              <w:spacing w:after="0" w:line="252" w:lineRule="auto"/>
            </w:pPr>
            <w:r>
              <w:rPr>
                <w:b w:val="0"/>
                <w:sz w:val="19"/>
              </w:rPr>
              <w:t>Workspace key</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DELETE</w:t>
            </w:r>
          </w:p>
        </w:tc>
        <w:tc>
          <w:tcPr>
            <w:tcW w:type="dxa" w:w="6192"/>
            <w:vAlign w:val="center"/>
            <w:tcMar>
              <w:top w:w="90" w:type="dxa"/>
              <w:bottom w:w="90" w:type="dxa"/>
              <w:left w:w="100" w:type="dxa"/>
              <w:right w:w="100" w:type="dxa"/>
            </w:tcMar>
            <w:shd w:fill="FFFFFF"/>
          </w:tcPr>
          <w:p>
            <w:pPr>
              <w:spacing w:after="0" w:line="252" w:lineRule="auto"/>
            </w:pPr>
            <w:r>
              <w:rPr>
                <w:b w:val="0"/>
                <w:sz w:val="19"/>
              </w:rPr>
              <w:t>/v1/case-file/{request_id}</w:t>
            </w:r>
          </w:p>
        </w:tc>
        <w:tc>
          <w:tcPr>
            <w:tcW w:type="dxa" w:w="2549"/>
            <w:vAlign w:val="center"/>
            <w:tcMar>
              <w:top w:w="90" w:type="dxa"/>
              <w:bottom w:w="90" w:type="dxa"/>
              <w:left w:w="100" w:type="dxa"/>
              <w:right w:w="100" w:type="dxa"/>
            </w:tcMar>
            <w:shd w:fill="FFFFFF"/>
          </w:tcPr>
          <w:p>
            <w:pPr>
              <w:spacing w:after="0" w:line="252" w:lineRule="auto"/>
            </w:pPr>
            <w:r>
              <w:rPr>
                <w:b w:val="0"/>
                <w:sz w:val="19"/>
              </w:rPr>
              <w:t>Workspace key</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POST</w:t>
            </w:r>
          </w:p>
        </w:tc>
        <w:tc>
          <w:tcPr>
            <w:tcW w:type="dxa" w:w="6192"/>
            <w:vAlign w:val="center"/>
            <w:tcMar>
              <w:top w:w="90" w:type="dxa"/>
              <w:bottom w:w="90" w:type="dxa"/>
              <w:left w:w="100" w:type="dxa"/>
              <w:right w:w="100" w:type="dxa"/>
            </w:tcMar>
            <w:shd w:fill="F5F8FA"/>
          </w:tcPr>
          <w:p>
            <w:pPr>
              <w:spacing w:after="0" w:line="252" w:lineRule="auto"/>
            </w:pPr>
            <w:r>
              <w:rPr>
                <w:b w:val="0"/>
                <w:sz w:val="19"/>
              </w:rPr>
              <w:t>/v1/classify</w:t>
            </w:r>
          </w:p>
        </w:tc>
        <w:tc>
          <w:tcPr>
            <w:tcW w:type="dxa" w:w="2549"/>
            <w:vAlign w:val="center"/>
            <w:tcMar>
              <w:top w:w="90" w:type="dxa"/>
              <w:bottom w:w="90" w:type="dxa"/>
              <w:left w:w="100" w:type="dxa"/>
              <w:right w:w="100" w:type="dxa"/>
            </w:tcMar>
            <w:shd w:fill="F5F8FA"/>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POST</w:t>
            </w:r>
          </w:p>
        </w:tc>
        <w:tc>
          <w:tcPr>
            <w:tcW w:type="dxa" w:w="6192"/>
            <w:vAlign w:val="center"/>
            <w:tcMar>
              <w:top w:w="90" w:type="dxa"/>
              <w:bottom w:w="90" w:type="dxa"/>
              <w:left w:w="100" w:type="dxa"/>
              <w:right w:w="100" w:type="dxa"/>
            </w:tcMar>
            <w:shd w:fill="FFFFFF"/>
          </w:tcPr>
          <w:p>
            <w:pPr>
              <w:spacing w:after="0" w:line="252" w:lineRule="auto"/>
            </w:pPr>
            <w:r>
              <w:rPr>
                <w:b w:val="0"/>
                <w:sz w:val="19"/>
              </w:rPr>
              <w:t>/v1/patent-risk</w:t>
            </w:r>
          </w:p>
        </w:tc>
        <w:tc>
          <w:tcPr>
            <w:tcW w:type="dxa" w:w="2549"/>
            <w:vAlign w:val="center"/>
            <w:tcMar>
              <w:top w:w="90" w:type="dxa"/>
              <w:bottom w:w="90" w:type="dxa"/>
              <w:left w:w="100" w:type="dxa"/>
              <w:right w:w="100" w:type="dxa"/>
            </w:tcMar>
            <w:shd w:fill="FFFFFF"/>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POST</w:t>
            </w:r>
          </w:p>
        </w:tc>
        <w:tc>
          <w:tcPr>
            <w:tcW w:type="dxa" w:w="6192"/>
            <w:vAlign w:val="center"/>
            <w:tcMar>
              <w:top w:w="90" w:type="dxa"/>
              <w:bottom w:w="90" w:type="dxa"/>
              <w:left w:w="100" w:type="dxa"/>
              <w:right w:w="100" w:type="dxa"/>
            </w:tcMar>
            <w:shd w:fill="F5F8FA"/>
          </w:tcPr>
          <w:p>
            <w:pPr>
              <w:spacing w:after="0" w:line="252" w:lineRule="auto"/>
            </w:pPr>
            <w:r>
              <w:rPr>
                <w:b w:val="0"/>
                <w:sz w:val="19"/>
              </w:rPr>
              <w:t>/v1/abs-check</w:t>
            </w:r>
          </w:p>
        </w:tc>
        <w:tc>
          <w:tcPr>
            <w:tcW w:type="dxa" w:w="2549"/>
            <w:vAlign w:val="center"/>
            <w:tcMar>
              <w:top w:w="90" w:type="dxa"/>
              <w:bottom w:w="90" w:type="dxa"/>
              <w:left w:w="100" w:type="dxa"/>
              <w:right w:w="100" w:type="dxa"/>
            </w:tcMar>
            <w:shd w:fill="F5F8FA"/>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POST</w:t>
            </w:r>
          </w:p>
        </w:tc>
        <w:tc>
          <w:tcPr>
            <w:tcW w:type="dxa" w:w="6192"/>
            <w:vAlign w:val="center"/>
            <w:tcMar>
              <w:top w:w="90" w:type="dxa"/>
              <w:bottom w:w="90" w:type="dxa"/>
              <w:left w:w="100" w:type="dxa"/>
              <w:right w:w="100" w:type="dxa"/>
            </w:tcMar>
            <w:shd w:fill="FFFFFF"/>
          </w:tcPr>
          <w:p>
            <w:pPr>
              <w:spacing w:after="0" w:line="252" w:lineRule="auto"/>
            </w:pPr>
            <w:r>
              <w:rPr>
                <w:b w:val="0"/>
                <w:sz w:val="19"/>
              </w:rPr>
              <w:t>/v1/tk-radar</w:t>
            </w:r>
          </w:p>
        </w:tc>
        <w:tc>
          <w:tcPr>
            <w:tcW w:type="dxa" w:w="2549"/>
            <w:vAlign w:val="center"/>
            <w:tcMar>
              <w:top w:w="90" w:type="dxa"/>
              <w:bottom w:w="90" w:type="dxa"/>
              <w:left w:w="100" w:type="dxa"/>
              <w:right w:w="100" w:type="dxa"/>
            </w:tcMar>
            <w:shd w:fill="FFFFFF"/>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POST</w:t>
            </w:r>
          </w:p>
        </w:tc>
        <w:tc>
          <w:tcPr>
            <w:tcW w:type="dxa" w:w="6192"/>
            <w:vAlign w:val="center"/>
            <w:tcMar>
              <w:top w:w="90" w:type="dxa"/>
              <w:bottom w:w="90" w:type="dxa"/>
              <w:left w:w="100" w:type="dxa"/>
              <w:right w:w="100" w:type="dxa"/>
            </w:tcMar>
            <w:shd w:fill="F5F8FA"/>
          </w:tcPr>
          <w:p>
            <w:pPr>
              <w:spacing w:after="0" w:line="252" w:lineRule="auto"/>
            </w:pPr>
            <w:r>
              <w:rPr>
                <w:b w:val="0"/>
                <w:sz w:val="19"/>
              </w:rPr>
              <w:t>/v1/dossier</w:t>
            </w:r>
          </w:p>
        </w:tc>
        <w:tc>
          <w:tcPr>
            <w:tcW w:type="dxa" w:w="2549"/>
            <w:vAlign w:val="center"/>
            <w:tcMar>
              <w:top w:w="90" w:type="dxa"/>
              <w:bottom w:w="90" w:type="dxa"/>
              <w:left w:w="100" w:type="dxa"/>
              <w:right w:w="100" w:type="dxa"/>
            </w:tcMar>
            <w:shd w:fill="F5F8FA"/>
          </w:tcPr>
          <w:p>
            <w:pPr>
              <w:spacing w:after="0" w:line="252" w:lineRule="auto"/>
            </w:pPr>
            <w:r>
              <w:rPr>
                <w:b w:val="0"/>
                <w:sz w:val="19"/>
              </w:rPr>
              <w:t>Workspace key</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GET</w:t>
            </w:r>
          </w:p>
        </w:tc>
        <w:tc>
          <w:tcPr>
            <w:tcW w:type="dxa" w:w="6192"/>
            <w:vAlign w:val="center"/>
            <w:tcMar>
              <w:top w:w="90" w:type="dxa"/>
              <w:bottom w:w="90" w:type="dxa"/>
              <w:left w:w="100" w:type="dxa"/>
              <w:right w:w="100" w:type="dxa"/>
            </w:tcMar>
            <w:shd w:fill="FFFFFF"/>
          </w:tcPr>
          <w:p>
            <w:pPr>
              <w:spacing w:after="0" w:line="252" w:lineRule="auto"/>
            </w:pPr>
            <w:r>
              <w:rPr>
                <w:b w:val="0"/>
                <w:sz w:val="19"/>
              </w:rPr>
              <w:t>/v1/documents</w:t>
            </w:r>
          </w:p>
        </w:tc>
        <w:tc>
          <w:tcPr>
            <w:tcW w:type="dxa" w:w="2549"/>
            <w:vAlign w:val="center"/>
            <w:tcMar>
              <w:top w:w="90" w:type="dxa"/>
              <w:bottom w:w="90" w:type="dxa"/>
              <w:left w:w="100" w:type="dxa"/>
              <w:right w:w="100" w:type="dxa"/>
            </w:tcMar>
            <w:shd w:fill="FFFFFF"/>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GET</w:t>
            </w:r>
          </w:p>
        </w:tc>
        <w:tc>
          <w:tcPr>
            <w:tcW w:type="dxa" w:w="6192"/>
            <w:vAlign w:val="center"/>
            <w:tcMar>
              <w:top w:w="90" w:type="dxa"/>
              <w:bottom w:w="90" w:type="dxa"/>
              <w:left w:w="100" w:type="dxa"/>
              <w:right w:w="100" w:type="dxa"/>
            </w:tcMar>
            <w:shd w:fill="F5F8FA"/>
          </w:tcPr>
          <w:p>
            <w:pPr>
              <w:spacing w:after="0" w:line="252" w:lineRule="auto"/>
            </w:pPr>
            <w:r>
              <w:rPr>
                <w:b w:val="0"/>
                <w:sz w:val="19"/>
              </w:rPr>
              <w:t>/v1/documents/{doc_id}/pdf</w:t>
            </w:r>
          </w:p>
        </w:tc>
        <w:tc>
          <w:tcPr>
            <w:tcW w:type="dxa" w:w="2549"/>
            <w:vAlign w:val="center"/>
            <w:tcMar>
              <w:top w:w="90" w:type="dxa"/>
              <w:bottom w:w="90" w:type="dxa"/>
              <w:left w:w="100" w:type="dxa"/>
              <w:right w:w="100" w:type="dxa"/>
            </w:tcMar>
            <w:shd w:fill="F5F8FA"/>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GET</w:t>
            </w:r>
          </w:p>
        </w:tc>
        <w:tc>
          <w:tcPr>
            <w:tcW w:type="dxa" w:w="6192"/>
            <w:vAlign w:val="center"/>
            <w:tcMar>
              <w:top w:w="90" w:type="dxa"/>
              <w:bottom w:w="90" w:type="dxa"/>
              <w:left w:w="100" w:type="dxa"/>
              <w:right w:w="100" w:type="dxa"/>
            </w:tcMar>
            <w:shd w:fill="FFFFFF"/>
          </w:tcPr>
          <w:p>
            <w:pPr>
              <w:spacing w:after="0" w:line="252" w:lineRule="auto"/>
            </w:pPr>
            <w:r>
              <w:rPr>
                <w:b w:val="0"/>
                <w:sz w:val="19"/>
              </w:rPr>
              <w:t>/v1/spans/{evidence_id}</w:t>
            </w:r>
          </w:p>
        </w:tc>
        <w:tc>
          <w:tcPr>
            <w:tcW w:type="dxa" w:w="2549"/>
            <w:vAlign w:val="center"/>
            <w:tcMar>
              <w:top w:w="90" w:type="dxa"/>
              <w:bottom w:w="90" w:type="dxa"/>
              <w:left w:w="100" w:type="dxa"/>
              <w:right w:w="100" w:type="dxa"/>
            </w:tcMar>
            <w:shd w:fill="FFFFFF"/>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GET</w:t>
            </w:r>
          </w:p>
        </w:tc>
        <w:tc>
          <w:tcPr>
            <w:tcW w:type="dxa" w:w="6192"/>
            <w:vAlign w:val="center"/>
            <w:tcMar>
              <w:top w:w="90" w:type="dxa"/>
              <w:bottom w:w="90" w:type="dxa"/>
              <w:left w:w="100" w:type="dxa"/>
              <w:right w:w="100" w:type="dxa"/>
            </w:tcMar>
            <w:shd w:fill="F5F8FA"/>
          </w:tcPr>
          <w:p>
            <w:pPr>
              <w:spacing w:after="0" w:line="252" w:lineRule="auto"/>
            </w:pPr>
            <w:r>
              <w:rPr>
                <w:b w:val="0"/>
                <w:sz w:val="19"/>
              </w:rPr>
              <w:t>/v1/corpus/versions</w:t>
            </w:r>
          </w:p>
        </w:tc>
        <w:tc>
          <w:tcPr>
            <w:tcW w:type="dxa" w:w="2549"/>
            <w:vAlign w:val="center"/>
            <w:tcMar>
              <w:top w:w="90" w:type="dxa"/>
              <w:bottom w:w="90" w:type="dxa"/>
              <w:left w:w="100" w:type="dxa"/>
              <w:right w:w="100" w:type="dxa"/>
            </w:tcMar>
            <w:shd w:fill="F5F8FA"/>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GET</w:t>
            </w:r>
          </w:p>
        </w:tc>
        <w:tc>
          <w:tcPr>
            <w:tcW w:type="dxa" w:w="6192"/>
            <w:vAlign w:val="center"/>
            <w:tcMar>
              <w:top w:w="90" w:type="dxa"/>
              <w:bottom w:w="90" w:type="dxa"/>
              <w:left w:w="100" w:type="dxa"/>
              <w:right w:w="100" w:type="dxa"/>
            </w:tcMar>
            <w:shd w:fill="FFFFFF"/>
          </w:tcPr>
          <w:p>
            <w:pPr>
              <w:spacing w:after="0" w:line="252" w:lineRule="auto"/>
            </w:pPr>
            <w:r>
              <w:rPr>
                <w:b w:val="0"/>
                <w:sz w:val="19"/>
              </w:rPr>
              <w:t>/v1/corpus/coverage</w:t>
            </w:r>
          </w:p>
        </w:tc>
        <w:tc>
          <w:tcPr>
            <w:tcW w:type="dxa" w:w="2549"/>
            <w:vAlign w:val="center"/>
            <w:tcMar>
              <w:top w:w="90" w:type="dxa"/>
              <w:bottom w:w="90" w:type="dxa"/>
              <w:left w:w="100" w:type="dxa"/>
              <w:right w:w="100" w:type="dxa"/>
            </w:tcMar>
            <w:shd w:fill="FFFFFF"/>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GET</w:t>
            </w:r>
          </w:p>
        </w:tc>
        <w:tc>
          <w:tcPr>
            <w:tcW w:type="dxa" w:w="6192"/>
            <w:vAlign w:val="center"/>
            <w:tcMar>
              <w:top w:w="90" w:type="dxa"/>
              <w:bottom w:w="90" w:type="dxa"/>
              <w:left w:w="100" w:type="dxa"/>
              <w:right w:w="100" w:type="dxa"/>
            </w:tcMar>
            <w:shd w:fill="F5F8FA"/>
          </w:tcPr>
          <w:p>
            <w:pPr>
              <w:spacing w:after="0" w:line="252" w:lineRule="auto"/>
            </w:pPr>
            <w:r>
              <w:rPr>
                <w:b w:val="0"/>
                <w:sz w:val="19"/>
              </w:rPr>
              <w:t>/v1/receipts/{receipt_id}</w:t>
            </w:r>
          </w:p>
        </w:tc>
        <w:tc>
          <w:tcPr>
            <w:tcW w:type="dxa" w:w="2549"/>
            <w:vAlign w:val="center"/>
            <w:tcMar>
              <w:top w:w="90" w:type="dxa"/>
              <w:bottom w:w="90" w:type="dxa"/>
              <w:left w:w="100" w:type="dxa"/>
              <w:right w:w="100" w:type="dxa"/>
            </w:tcMar>
            <w:shd w:fill="F5F8FA"/>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POST</w:t>
            </w:r>
          </w:p>
        </w:tc>
        <w:tc>
          <w:tcPr>
            <w:tcW w:type="dxa" w:w="6192"/>
            <w:vAlign w:val="center"/>
            <w:tcMar>
              <w:top w:w="90" w:type="dxa"/>
              <w:bottom w:w="90" w:type="dxa"/>
              <w:left w:w="100" w:type="dxa"/>
              <w:right w:w="100" w:type="dxa"/>
            </w:tcMar>
            <w:shd w:fill="FFFFFF"/>
          </w:tcPr>
          <w:p>
            <w:pPr>
              <w:spacing w:after="0" w:line="252" w:lineRule="auto"/>
            </w:pPr>
            <w:r>
              <w:rPr>
                <w:b w:val="0"/>
                <w:sz w:val="19"/>
              </w:rPr>
              <w:t>/v1/receipts/{receipt_id}/verify</w:t>
            </w:r>
          </w:p>
        </w:tc>
        <w:tc>
          <w:tcPr>
            <w:tcW w:type="dxa" w:w="2549"/>
            <w:vAlign w:val="center"/>
            <w:tcMar>
              <w:top w:w="90" w:type="dxa"/>
              <w:bottom w:w="90" w:type="dxa"/>
              <w:left w:w="100" w:type="dxa"/>
              <w:right w:w="100" w:type="dxa"/>
            </w:tcMar>
            <w:shd w:fill="FFFFFF"/>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POST</w:t>
            </w:r>
          </w:p>
        </w:tc>
        <w:tc>
          <w:tcPr>
            <w:tcW w:type="dxa" w:w="6192"/>
            <w:vAlign w:val="center"/>
            <w:tcMar>
              <w:top w:w="90" w:type="dxa"/>
              <w:bottom w:w="90" w:type="dxa"/>
              <w:left w:w="100" w:type="dxa"/>
              <w:right w:w="100" w:type="dxa"/>
            </w:tcMar>
            <w:shd w:fill="F5F8FA"/>
          </w:tcPr>
          <w:p>
            <w:pPr>
              <w:spacing w:after="0" w:line="252" w:lineRule="auto"/>
            </w:pPr>
            <w:r>
              <w:rPr>
                <w:b w:val="0"/>
                <w:sz w:val="19"/>
              </w:rPr>
              <w:t>/v1/speech/asr</w:t>
            </w:r>
          </w:p>
        </w:tc>
        <w:tc>
          <w:tcPr>
            <w:tcW w:type="dxa" w:w="2549"/>
            <w:vAlign w:val="center"/>
            <w:tcMar>
              <w:top w:w="90" w:type="dxa"/>
              <w:bottom w:w="90" w:type="dxa"/>
              <w:left w:w="100" w:type="dxa"/>
              <w:right w:w="100" w:type="dxa"/>
            </w:tcMar>
            <w:shd w:fill="F5F8FA"/>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POST</w:t>
            </w:r>
          </w:p>
        </w:tc>
        <w:tc>
          <w:tcPr>
            <w:tcW w:type="dxa" w:w="6192"/>
            <w:vAlign w:val="center"/>
            <w:tcMar>
              <w:top w:w="90" w:type="dxa"/>
              <w:bottom w:w="90" w:type="dxa"/>
              <w:left w:w="100" w:type="dxa"/>
              <w:right w:w="100" w:type="dxa"/>
            </w:tcMar>
            <w:shd w:fill="FFFFFF"/>
          </w:tcPr>
          <w:p>
            <w:pPr>
              <w:spacing w:after="0" w:line="252" w:lineRule="auto"/>
            </w:pPr>
            <w:r>
              <w:rPr>
                <w:b w:val="0"/>
                <w:sz w:val="19"/>
              </w:rPr>
              <w:t>/v1/speech/tts</w:t>
            </w:r>
          </w:p>
        </w:tc>
        <w:tc>
          <w:tcPr>
            <w:tcW w:type="dxa" w:w="2549"/>
            <w:vAlign w:val="center"/>
            <w:tcMar>
              <w:top w:w="90" w:type="dxa"/>
              <w:bottom w:w="90" w:type="dxa"/>
              <w:left w:w="100" w:type="dxa"/>
              <w:right w:w="100" w:type="dxa"/>
            </w:tcMar>
            <w:shd w:fill="FFFFFF"/>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POST</w:t>
            </w:r>
          </w:p>
        </w:tc>
        <w:tc>
          <w:tcPr>
            <w:tcW w:type="dxa" w:w="6192"/>
            <w:vAlign w:val="center"/>
            <w:tcMar>
              <w:top w:w="90" w:type="dxa"/>
              <w:bottom w:w="90" w:type="dxa"/>
              <w:left w:w="100" w:type="dxa"/>
              <w:right w:w="100" w:type="dxa"/>
            </w:tcMar>
            <w:shd w:fill="F5F8FA"/>
          </w:tcPr>
          <w:p>
            <w:pPr>
              <w:spacing w:after="0" w:line="252" w:lineRule="auto"/>
            </w:pPr>
            <w:r>
              <w:rPr>
                <w:b w:val="0"/>
                <w:sz w:val="19"/>
              </w:rPr>
              <w:t>/v1/escalations</w:t>
            </w:r>
          </w:p>
        </w:tc>
        <w:tc>
          <w:tcPr>
            <w:tcW w:type="dxa" w:w="2549"/>
            <w:vAlign w:val="center"/>
            <w:tcMar>
              <w:top w:w="90" w:type="dxa"/>
              <w:bottom w:w="90" w:type="dxa"/>
              <w:left w:w="100" w:type="dxa"/>
              <w:right w:w="100" w:type="dxa"/>
            </w:tcMar>
            <w:shd w:fill="F5F8FA"/>
          </w:tcPr>
          <w:p>
            <w:pPr>
              <w:spacing w:after="0" w:line="252" w:lineRule="auto"/>
            </w:pPr>
            <w:r>
              <w:rPr>
                <w:b w:val="0"/>
                <w:sz w:val="19"/>
              </w:rPr>
              <w:t>Local demo access</w:t>
            </w:r>
          </w:p>
        </w:tc>
      </w:tr>
      <w:tr>
        <w:trPr>
          <w:cantSplit/>
        </w:trPr>
        <w:tc>
          <w:tcPr>
            <w:tcW w:type="dxa" w:w="1008"/>
            <w:vAlign w:val="center"/>
            <w:tcMar>
              <w:top w:w="90" w:type="dxa"/>
              <w:bottom w:w="90" w:type="dxa"/>
              <w:left w:w="100" w:type="dxa"/>
              <w:right w:w="100" w:type="dxa"/>
            </w:tcMar>
            <w:shd w:fill="FFFFFF"/>
          </w:tcPr>
          <w:p>
            <w:pPr>
              <w:spacing w:after="0" w:line="252" w:lineRule="auto"/>
            </w:pPr>
            <w:r>
              <w:rPr>
                <w:b w:val="0"/>
                <w:sz w:val="19"/>
              </w:rPr>
              <w:t>GET</w:t>
            </w:r>
          </w:p>
        </w:tc>
        <w:tc>
          <w:tcPr>
            <w:tcW w:type="dxa" w:w="6192"/>
            <w:vAlign w:val="center"/>
            <w:tcMar>
              <w:top w:w="90" w:type="dxa"/>
              <w:bottom w:w="90" w:type="dxa"/>
              <w:left w:w="100" w:type="dxa"/>
              <w:right w:w="100" w:type="dxa"/>
            </w:tcMar>
            <w:shd w:fill="FFFFFF"/>
          </w:tcPr>
          <w:p>
            <w:pPr>
              <w:spacing w:after="0" w:line="252" w:lineRule="auto"/>
            </w:pPr>
            <w:r>
              <w:rPr>
                <w:b w:val="0"/>
                <w:sz w:val="19"/>
              </w:rPr>
              <w:t>/v1/escalations</w:t>
            </w:r>
          </w:p>
        </w:tc>
        <w:tc>
          <w:tcPr>
            <w:tcW w:type="dxa" w:w="2549"/>
            <w:vAlign w:val="center"/>
            <w:tcMar>
              <w:top w:w="90" w:type="dxa"/>
              <w:bottom w:w="90" w:type="dxa"/>
              <w:left w:w="100" w:type="dxa"/>
              <w:right w:w="100" w:type="dxa"/>
            </w:tcMar>
            <w:shd w:fill="FFFFFF"/>
          </w:tcPr>
          <w:p>
            <w:pPr>
              <w:spacing w:after="0" w:line="252" w:lineRule="auto"/>
            </w:pPr>
            <w:r>
              <w:rPr>
                <w:b w:val="0"/>
                <w:sz w:val="19"/>
              </w:rPr>
              <w:t>Admin key</w:t>
            </w:r>
          </w:p>
        </w:tc>
      </w:tr>
      <w:tr>
        <w:trPr>
          <w:cantSplit/>
        </w:trPr>
        <w:tc>
          <w:tcPr>
            <w:tcW w:type="dxa" w:w="1008"/>
            <w:vAlign w:val="center"/>
            <w:tcMar>
              <w:top w:w="90" w:type="dxa"/>
              <w:bottom w:w="90" w:type="dxa"/>
              <w:left w:w="100" w:type="dxa"/>
              <w:right w:w="100" w:type="dxa"/>
            </w:tcMar>
            <w:shd w:fill="F5F8FA"/>
          </w:tcPr>
          <w:p>
            <w:pPr>
              <w:spacing w:after="0" w:line="252" w:lineRule="auto"/>
            </w:pPr>
            <w:r>
              <w:rPr>
                <w:b w:val="0"/>
                <w:sz w:val="19"/>
              </w:rPr>
              <w:t>GET</w:t>
            </w:r>
          </w:p>
        </w:tc>
        <w:tc>
          <w:tcPr>
            <w:tcW w:type="dxa" w:w="6192"/>
            <w:vAlign w:val="center"/>
            <w:tcMar>
              <w:top w:w="90" w:type="dxa"/>
              <w:bottom w:w="90" w:type="dxa"/>
              <w:left w:w="100" w:type="dxa"/>
              <w:right w:w="100" w:type="dxa"/>
            </w:tcMar>
            <w:shd w:fill="F5F8FA"/>
          </w:tcPr>
          <w:p>
            <w:pPr>
              <w:spacing w:after="0" w:line="252" w:lineRule="auto"/>
            </w:pPr>
            <w:r>
              <w:rPr>
                <w:b w:val="0"/>
                <w:sz w:val="19"/>
              </w:rPr>
              <w:t>/v1/eval/latest</w:t>
            </w:r>
          </w:p>
        </w:tc>
        <w:tc>
          <w:tcPr>
            <w:tcW w:type="dxa" w:w="2549"/>
            <w:vAlign w:val="center"/>
            <w:tcMar>
              <w:top w:w="90" w:type="dxa"/>
              <w:bottom w:w="90" w:type="dxa"/>
              <w:left w:w="100" w:type="dxa"/>
              <w:right w:w="100" w:type="dxa"/>
            </w:tcMar>
            <w:shd w:fill="F5F8FA"/>
          </w:tcPr>
          <w:p>
            <w:pPr>
              <w:spacing w:after="0" w:line="252" w:lineRule="auto"/>
            </w:pPr>
            <w:r>
              <w:rPr>
                <w:b w:val="0"/>
                <w:sz w:val="19"/>
              </w:rPr>
              <w:t>Local demo access</w:t>
            </w:r>
          </w:p>
        </w:tc>
      </w:tr>
    </w:tbl>
    <w:p>
      <w:pPr>
        <w:spacing w:after="20" w:before="0" w:line="240" w:lineRule="auto"/>
      </w:pPr>
      <w:r>
        <w:rPr>
          <w:sz w:val="2"/>
        </w:rPr>
      </w:r>
    </w:p>
    <w:p>
      <w:r>
        <w:t>X-Demo-Key is mandatory for the history/case endpoints and real dossier export, optional on /query only when no conversation_id is supplied, and mandatory for administrator escalation listing. Other local research/proof endpoints are not individually account-protected in this demo. Request validation generally returns 422, missing/expired records 404, invalid access 401, integrity/order conflicts 409, unavailable capabilities 503 and rate limiting 429.</w:t>
      </w:r>
    </w:p>
    <w:p>
      <w:bookmarkStart w:id="13" w:name="section_13"/>
      <w:pPr>
        <w:pStyle w:val="Heading1"/>
      </w:pPr>
      <w:r>
        <w:t>Appendix B Code and evidence map</w:t>
      </w:r>
      <w:bookmarkEnd w:id="1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437"/>
      </w:tblGrid>
      <w:tr>
        <w:trPr>
          <w:tblHeader/>
          <w:cantSplit/>
        </w:trPr>
        <w:tc>
          <w:tcPr>
            <w:tcW w:type="dxa" w:w="3312"/>
            <w:vAlign w:val="center"/>
            <w:tcMar>
              <w:top w:w="90" w:type="dxa"/>
              <w:bottom w:w="90" w:type="dxa"/>
              <w:left w:w="100" w:type="dxa"/>
              <w:right w:w="100" w:type="dxa"/>
            </w:tcMar>
            <w:shd w:fill="DBEAF2"/>
          </w:tcPr>
          <w:p>
            <w:pPr>
              <w:spacing w:after="0" w:line="252" w:lineRule="auto"/>
            </w:pPr>
            <w:r>
              <w:rPr>
                <w:b/>
                <w:sz w:val="19"/>
              </w:rPr>
              <w:t>Location</w:t>
            </w:r>
          </w:p>
        </w:tc>
        <w:tc>
          <w:tcPr>
            <w:tcW w:type="dxa" w:w="6437"/>
            <w:vAlign w:val="center"/>
            <w:tcMar>
              <w:top w:w="90" w:type="dxa"/>
              <w:bottom w:w="90" w:type="dxa"/>
              <w:left w:w="100" w:type="dxa"/>
              <w:right w:w="100" w:type="dxa"/>
            </w:tcMar>
            <w:shd w:fill="DBEAF2"/>
          </w:tcPr>
          <w:p>
            <w:pPr>
              <w:spacing w:after="0" w:line="252" w:lineRule="auto"/>
            </w:pPr>
            <w:r>
              <w:rPr>
                <w:b/>
                <w:sz w:val="19"/>
              </w:rPr>
              <w:t>What to inspect</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PRAMANA_IMPLEMENTATION_PLAN.md</w:t>
            </w:r>
          </w:p>
        </w:tc>
        <w:tc>
          <w:tcPr>
            <w:tcW w:type="dxa" w:w="6437"/>
            <w:vAlign w:val="center"/>
            <w:tcMar>
              <w:top w:w="90" w:type="dxa"/>
              <w:bottom w:w="90" w:type="dxa"/>
              <w:left w:w="100" w:type="dxa"/>
              <w:right w:w="100" w:type="dxa"/>
            </w:tcMar>
            <w:shd w:fill="FFFFFF"/>
          </w:tcPr>
          <w:p>
            <w:pPr>
              <w:spacing w:after="0" w:line="252" w:lineRule="auto"/>
            </w:pPr>
            <w:r>
              <w:rPr>
                <w:b w:val="0"/>
                <w:sz w:val="19"/>
              </w:rPr>
              <w:t>Canonical requirements model constraints milestones and acceptance</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docker-compose.yml and .env.example</w:t>
            </w:r>
          </w:p>
        </w:tc>
        <w:tc>
          <w:tcPr>
            <w:tcW w:type="dxa" w:w="6437"/>
            <w:vAlign w:val="center"/>
            <w:tcMar>
              <w:top w:w="90" w:type="dxa"/>
              <w:bottom w:w="90" w:type="dxa"/>
              <w:left w:w="100" w:type="dxa"/>
              <w:right w:w="100" w:type="dxa"/>
            </w:tcMar>
            <w:shd w:fill="F5F8FA"/>
          </w:tcPr>
          <w:p>
            <w:pPr>
              <w:spacing w:after="0" w:line="252" w:lineRule="auto"/>
            </w:pPr>
            <w:r>
              <w:rPr>
                <w:b w:val="0"/>
                <w:sz w:val="19"/>
              </w:rPr>
              <w:t>Services limits networking volumes and configuration names</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backend/app/config.py and main.py</w:t>
            </w:r>
          </w:p>
        </w:tc>
        <w:tc>
          <w:tcPr>
            <w:tcW w:type="dxa" w:w="6437"/>
            <w:vAlign w:val="center"/>
            <w:tcMar>
              <w:top w:w="90" w:type="dxa"/>
              <w:bottom w:w="90" w:type="dxa"/>
              <w:left w:w="100" w:type="dxa"/>
              <w:right w:w="100" w:type="dxa"/>
            </w:tcMar>
            <w:shd w:fill="FFFFFF"/>
          </w:tcPr>
          <w:p>
            <w:pPr>
              <w:spacing w:after="0" w:line="252" w:lineRule="auto"/>
            </w:pPr>
            <w:r>
              <w:rPr>
                <w:b w:val="0"/>
                <w:sz w:val="19"/>
              </w:rPr>
              <w:t>Validated settings startup verifier warmup and expiry task</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backend/app/api and schemas</w:t>
            </w:r>
          </w:p>
        </w:tc>
        <w:tc>
          <w:tcPr>
            <w:tcW w:type="dxa" w:w="6437"/>
            <w:vAlign w:val="center"/>
            <w:tcMar>
              <w:top w:w="90" w:type="dxa"/>
              <w:bottom w:w="90" w:type="dxa"/>
              <w:left w:w="100" w:type="dxa"/>
              <w:right w:w="100" w:type="dxa"/>
            </w:tcMar>
            <w:shd w:fill="F5F8FA"/>
          </w:tcPr>
          <w:p>
            <w:pPr>
              <w:spacing w:after="0" w:line="252" w:lineRule="auto"/>
            </w:pPr>
            <w:r>
              <w:rPr>
                <w:b w:val="0"/>
                <w:sz w:val="19"/>
              </w:rPr>
              <w:t>HTTP routes request/result contracts and errors</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backend/app/orchestrator</w:t>
            </w:r>
          </w:p>
        </w:tc>
        <w:tc>
          <w:tcPr>
            <w:tcW w:type="dxa" w:w="6437"/>
            <w:vAlign w:val="center"/>
            <w:tcMar>
              <w:top w:w="90" w:type="dxa"/>
              <w:bottom w:w="90" w:type="dxa"/>
              <w:left w:w="100" w:type="dxa"/>
              <w:right w:w="100" w:type="dxa"/>
            </w:tcMar>
            <w:shd w:fill="FFFFFF"/>
          </w:tcPr>
          <w:p>
            <w:pPr>
              <w:spacing w:after="0" w:line="252" w:lineRule="auto"/>
            </w:pPr>
            <w:r>
              <w:rPr>
                <w:b w:val="0"/>
                <w:sz w:val="19"/>
              </w:rPr>
              <w:t>Staged query execution routing state and failures</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backend/app/generation</w:t>
            </w:r>
          </w:p>
        </w:tc>
        <w:tc>
          <w:tcPr>
            <w:tcW w:type="dxa" w:w="6437"/>
            <w:vAlign w:val="center"/>
            <w:tcMar>
              <w:top w:w="90" w:type="dxa"/>
              <w:bottom w:w="90" w:type="dxa"/>
              <w:left w:w="100" w:type="dxa"/>
              <w:right w:w="100" w:type="dxa"/>
            </w:tcMar>
            <w:shd w:fill="F5F8FA"/>
          </w:tcPr>
          <w:p>
            <w:pPr>
              <w:spacing w:after="0" w:line="252" w:lineRule="auto"/>
            </w:pPr>
            <w:r>
              <w:rPr>
                <w:b w:val="0"/>
                <w:sz w:val="19"/>
              </w:rPr>
              <w:t>Local Ollama JSON Schema prompts and citation resolution</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backend/app/retrieval</w:t>
            </w:r>
          </w:p>
        </w:tc>
        <w:tc>
          <w:tcPr>
            <w:tcW w:type="dxa" w:w="6437"/>
            <w:vAlign w:val="center"/>
            <w:tcMar>
              <w:top w:w="90" w:type="dxa"/>
              <w:bottom w:w="90" w:type="dxa"/>
              <w:left w:w="100" w:type="dxa"/>
              <w:right w:w="100" w:type="dxa"/>
            </w:tcMar>
            <w:shd w:fill="FFFFFF"/>
          </w:tcPr>
          <w:p>
            <w:pPr>
              <w:spacing w:after="0" w:line="252" w:lineRule="auto"/>
            </w:pPr>
            <w:r>
              <w:rPr>
                <w:b w:val="0"/>
                <w:sz w:val="19"/>
              </w:rPr>
              <w:t>Embeddings keyword/dense filters legal context and evidence packs</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backend/app/verification</w:t>
            </w:r>
          </w:p>
        </w:tc>
        <w:tc>
          <w:tcPr>
            <w:tcW w:type="dxa" w:w="6437"/>
            <w:vAlign w:val="center"/>
            <w:tcMar>
              <w:top w:w="90" w:type="dxa"/>
              <w:bottom w:w="90" w:type="dxa"/>
              <w:left w:w="100" w:type="dxa"/>
              <w:right w:w="100" w:type="dxa"/>
            </w:tcMar>
            <w:shd w:fill="F5F8FA"/>
          </w:tcPr>
          <w:p>
            <w:pPr>
              <w:spacing w:after="0" w:line="252" w:lineRule="auto"/>
            </w:pPr>
            <w:r>
              <w:rPr>
                <w:b w:val="0"/>
                <w:sz w:val="19"/>
              </w:rPr>
              <w:t>NLI numeric/reference guards translation status and confidence</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backend/app/ingest and corpus</w:t>
            </w:r>
          </w:p>
        </w:tc>
        <w:tc>
          <w:tcPr>
            <w:tcW w:type="dxa" w:w="6437"/>
            <w:vAlign w:val="center"/>
            <w:tcMar>
              <w:top w:w="90" w:type="dxa"/>
              <w:bottom w:w="90" w:type="dxa"/>
              <w:left w:w="100" w:type="dxa"/>
              <w:right w:w="100" w:type="dxa"/>
            </w:tcMar>
            <w:shd w:fill="FFFFFF"/>
          </w:tcPr>
          <w:p>
            <w:pPr>
              <w:spacing w:after="0" w:line="252" w:lineRule="auto"/>
            </w:pPr>
            <w:r>
              <w:rPr>
                <w:b w:val="0"/>
                <w:sz w:val="19"/>
              </w:rPr>
              <w:t>Official fetch parsing versioning source monitor review and manifests</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backend/app/history and audit</w:t>
            </w:r>
          </w:p>
        </w:tc>
        <w:tc>
          <w:tcPr>
            <w:tcW w:type="dxa" w:w="6437"/>
            <w:vAlign w:val="center"/>
            <w:tcMar>
              <w:top w:w="90" w:type="dxa"/>
              <w:bottom w:w="90" w:type="dxa"/>
              <w:left w:w="100" w:type="dxa"/>
              <w:right w:w="100" w:type="dxa"/>
            </w:tcMar>
            <w:shd w:fill="F5F8FA"/>
          </w:tcPr>
          <w:p>
            <w:pPr>
              <w:spacing w:after="0" w:line="252" w:lineRule="auto"/>
            </w:pPr>
            <w:r>
              <w:rPr>
                <w:b w:val="0"/>
                <w:sz w:val="19"/>
              </w:rPr>
              <w:t>Workspace persistence independent expiry hashes proofs and saved results</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backend/app/rules and tk</w:t>
            </w:r>
          </w:p>
        </w:tc>
        <w:tc>
          <w:tcPr>
            <w:tcW w:type="dxa" w:w="6437"/>
            <w:vAlign w:val="center"/>
            <w:tcMar>
              <w:top w:w="90" w:type="dxa"/>
              <w:bottom w:w="90" w:type="dxa"/>
              <w:left w:w="100" w:type="dxa"/>
              <w:right w:w="100" w:type="dxa"/>
            </w:tcMar>
            <w:shd w:fill="FFFFFF"/>
          </w:tcPr>
          <w:p>
            <w:pPr>
              <w:spacing w:after="0" w:line="252" w:lineRule="auto"/>
            </w:pPr>
            <w:r>
              <w:rPr>
                <w:b w:val="0"/>
                <w:sz w:val="19"/>
              </w:rPr>
              <w:t>Classification draft patent indicators ABS and seed/query-pack behavior</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backend/app/render</w:t>
            </w:r>
          </w:p>
        </w:tc>
        <w:tc>
          <w:tcPr>
            <w:tcW w:type="dxa" w:w="6437"/>
            <w:vAlign w:val="center"/>
            <w:tcMar>
              <w:top w:w="90" w:type="dxa"/>
              <w:bottom w:w="90" w:type="dxa"/>
              <w:left w:w="100" w:type="dxa"/>
              <w:right w:w="100" w:type="dxa"/>
            </w:tcMar>
            <w:shd w:fill="F5F8FA"/>
          </w:tcPr>
          <w:p>
            <w:pPr>
              <w:spacing w:after="0" w:line="252" w:lineRule="auto"/>
            </w:pPr>
            <w:r>
              <w:rPr>
                <w:b w:val="0"/>
                <w:sz w:val="19"/>
              </w:rPr>
              <w:t>Real stored-result Markdown DOCX and PDF dossiers</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backend/alembic/versions</w:t>
            </w:r>
          </w:p>
        </w:tc>
        <w:tc>
          <w:tcPr>
            <w:tcW w:type="dxa" w:w="6437"/>
            <w:vAlign w:val="center"/>
            <w:tcMar>
              <w:top w:w="90" w:type="dxa"/>
              <w:bottom w:w="90" w:type="dxa"/>
              <w:left w:w="100" w:type="dxa"/>
              <w:right w:w="100" w:type="dxa"/>
            </w:tcMar>
            <w:shd w:fill="FFFFFF"/>
          </w:tcPr>
          <w:p>
            <w:pPr>
              <w:spacing w:after="0" w:line="252" w:lineRule="auto"/>
            </w:pPr>
            <w:r>
              <w:rPr>
                <w:b w:val="0"/>
                <w:sz w:val="19"/>
              </w:rPr>
              <w:t>Database roles migrations history and versioned source artifacts</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frontend/src and e2e</w:t>
            </w:r>
          </w:p>
        </w:tc>
        <w:tc>
          <w:tcPr>
            <w:tcW w:type="dxa" w:w="6437"/>
            <w:vAlign w:val="center"/>
            <w:tcMar>
              <w:top w:w="90" w:type="dxa"/>
              <w:bottom w:w="90" w:type="dxa"/>
              <w:left w:w="100" w:type="dxa"/>
              <w:right w:w="100" w:type="dxa"/>
            </w:tcMar>
            <w:shd w:fill="F5F8FA"/>
          </w:tcPr>
          <w:p>
            <w:pPr>
              <w:spacing w:after="0" w:line="252" w:lineRule="auto"/>
            </w:pPr>
            <w:r>
              <w:rPr>
                <w:b w:val="0"/>
                <w:sz w:val="19"/>
              </w:rPr>
              <w:t>Actual page/API wiring UI state source viewer localization and browser tests</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contracts/openapi.yaml and frontend/src/api/types.gen.ts</w:t>
            </w:r>
          </w:p>
        </w:tc>
        <w:tc>
          <w:tcPr>
            <w:tcW w:type="dxa" w:w="6437"/>
            <w:vAlign w:val="center"/>
            <w:tcMar>
              <w:top w:w="90" w:type="dxa"/>
              <w:bottom w:w="90" w:type="dxa"/>
              <w:left w:w="100" w:type="dxa"/>
              <w:right w:w="100" w:type="dxa"/>
            </w:tcMar>
            <w:shd w:fill="FFFFFF"/>
          </w:tcPr>
          <w:p>
            <w:pPr>
              <w:spacing w:after="0" w:line="252" w:lineRule="auto"/>
            </w:pPr>
            <w:r>
              <w:rPr>
                <w:b w:val="0"/>
                <w:sz w:val="19"/>
              </w:rPr>
              <w:t>Generated shared interface contracts</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eval/golden and eval/results</w:t>
            </w:r>
          </w:p>
        </w:tc>
        <w:tc>
          <w:tcPr>
            <w:tcW w:type="dxa" w:w="6437"/>
            <w:vAlign w:val="center"/>
            <w:tcMar>
              <w:top w:w="90" w:type="dxa"/>
              <w:bottom w:w="90" w:type="dxa"/>
              <w:left w:w="100" w:type="dxa"/>
              <w:right w:w="100" w:type="dxa"/>
            </w:tcMar>
            <w:shd w:fill="F5F8FA"/>
          </w:tcPr>
          <w:p>
            <w:pPr>
              <w:spacing w:after="0" w:line="252" w:lineRule="auto"/>
            </w:pPr>
            <w:r>
              <w:rPr>
                <w:b w:val="0"/>
                <w:sz w:val="19"/>
              </w:rPr>
              <w:t>Routing/retrieval sets measured outputs and production screenshots</w:t>
            </w:r>
          </w:p>
        </w:tc>
      </w:tr>
      <w:tr>
        <w:trPr>
          <w:cantSplit/>
        </w:trPr>
        <w:tc>
          <w:tcPr>
            <w:tcW w:type="dxa" w:w="3312"/>
            <w:vAlign w:val="center"/>
            <w:tcMar>
              <w:top w:w="90" w:type="dxa"/>
              <w:bottom w:w="90" w:type="dxa"/>
              <w:left w:w="100" w:type="dxa"/>
              <w:right w:w="100" w:type="dxa"/>
            </w:tcMar>
            <w:shd w:fill="FFFFFF"/>
          </w:tcPr>
          <w:p>
            <w:pPr>
              <w:spacing w:after="0" w:line="252" w:lineRule="auto"/>
            </w:pPr>
            <w:r>
              <w:rPr>
                <w:b w:val="0"/>
                <w:sz w:val="19"/>
              </w:rPr>
              <w:t>scripts</w:t>
            </w:r>
          </w:p>
        </w:tc>
        <w:tc>
          <w:tcPr>
            <w:tcW w:type="dxa" w:w="6437"/>
            <w:vAlign w:val="center"/>
            <w:tcMar>
              <w:top w:w="90" w:type="dxa"/>
              <w:bottom w:w="90" w:type="dxa"/>
              <w:left w:w="100" w:type="dxa"/>
              <w:right w:w="100" w:type="dxa"/>
            </w:tcMar>
            <w:shd w:fill="FFFFFF"/>
          </w:tcPr>
          <w:p>
            <w:pPr>
              <w:spacing w:after="0" w:line="252" w:lineRule="auto"/>
            </w:pPr>
            <w:r>
              <w:rPr>
                <w:b w:val="0"/>
                <w:sz w:val="19"/>
              </w:rPr>
              <w:t>HTTP acceptance browser runner memory sampler and maintenance runner</w:t>
            </w:r>
          </w:p>
        </w:tc>
      </w:tr>
      <w:tr>
        <w:trPr>
          <w:cantSplit/>
        </w:trPr>
        <w:tc>
          <w:tcPr>
            <w:tcW w:type="dxa" w:w="3312"/>
            <w:vAlign w:val="center"/>
            <w:tcMar>
              <w:top w:w="90" w:type="dxa"/>
              <w:bottom w:w="90" w:type="dxa"/>
              <w:left w:w="100" w:type="dxa"/>
              <w:right w:w="100" w:type="dxa"/>
            </w:tcMar>
            <w:shd w:fill="F5F8FA"/>
          </w:tcPr>
          <w:p>
            <w:pPr>
              <w:spacing w:after="0" w:line="252" w:lineRule="auto"/>
            </w:pPr>
            <w:r>
              <w:rPr>
                <w:b w:val="0"/>
                <w:sz w:val="19"/>
              </w:rPr>
              <w:t>docs/VERIFICATION_REPORT.md</w:t>
            </w:r>
          </w:p>
        </w:tc>
        <w:tc>
          <w:tcPr>
            <w:tcW w:type="dxa" w:w="6437"/>
            <w:vAlign w:val="center"/>
            <w:tcMar>
              <w:top w:w="90" w:type="dxa"/>
              <w:bottom w:w="90" w:type="dxa"/>
              <w:left w:w="100" w:type="dxa"/>
              <w:right w:w="100" w:type="dxa"/>
            </w:tcMar>
            <w:shd w:fill="F5F8FA"/>
          </w:tcPr>
          <w:p>
            <w:pPr>
              <w:spacing w:after="0" w:line="252" w:lineRule="auto"/>
            </w:pPr>
            <w:r>
              <w:rPr>
                <w:b w:val="0"/>
                <w:sz w:val="19"/>
              </w:rPr>
              <w:t>Dated observed results and exact quality findings</w:t>
            </w:r>
          </w:p>
        </w:tc>
      </w:tr>
    </w:tbl>
    <w:p>
      <w:pPr>
        <w:spacing w:after="20" w:before="0" w:line="240" w:lineRule="auto"/>
      </w:pPr>
      <w:r>
        <w:rPr>
          <w:sz w:val="2"/>
        </w:rPr>
      </w:r>
    </w:p>
    <w:p>
      <w:r>
        <w:t>Measured evidence files include live-acceptance.json, generation-unavailable.json, routing.json, live-retrieval.json, staged-retrieval.json, memory.json, staged-quality.json and parser-repair.json under eval/results. These generated files may be Git-ignored; preserve or export them explicitly with a verification handover. The current staged report hash is 0712fa7924946f76708cdd553dac03df0f66bfbfd78394fc307ebfc8ea547756. It identifies a failing report and is not permission to promote.</w:t>
      </w:r>
    </w:p>
    <w:p>
      <w:r>
        <w:t>To regenerate API contracts after a schema change, run make contracts followed by npm --prefix frontend run types:generate, then frontend build and relevant contract tests. This mutates generated files; review the diff and keep it consistent with the backend.</w:t>
      </w:r>
    </w:p>
    <w:p>
      <w:bookmarkStart w:id="14" w:name="section_14"/>
      <w:pPr>
        <w:pStyle w:val="Heading1"/>
      </w:pPr>
      <w:r>
        <w:t>Appendix C Terms and external references</w:t>
      </w:r>
      <w:bookmarkEnd w:id="14"/>
    </w:p>
    <w:p>
      <w:r>
        <w:t>RAG means retrieval augmented generation: a model drafts an answer using retrieved source material. An embedding is a numerical representation for semantic retrieval. NLI is natural language inference used here as a support test between cited text and a claim. SSE is the streamed stage/result protocol. A corpus version is a pinned set of source artifacts, metadata and indexed chunks.</w:t>
      </w:r>
    </w:p>
    <w:p>
      <w:r>
        <w:t>SHA-256 is the content hash used to detect changed bytes. A Merkle proof establishes a span's membership in a hashed collection. A receipt ties a served result to audit/source records. As-of filtering selects indexed effective dates; it is not a substitute for complete amendment history. ABS is access and benefit sharing. TKDL is the restricted Traditional Knowledge Digital Library for which this deployment prepares a query pack.</w:t>
      </w:r>
    </w:p>
    <w:p>
      <w:r>
        <w:t>Official runtime references explain the underlying interfaces; the repository defines PRAMANA's actual settings and behavior. Source-law interpretation and product-specific obligations still require review of the pinned authoritative documents.</w:t>
      </w:r>
    </w:p>
    <w:p>
      <w:pPr>
        <w:pStyle w:val="ListBullet"/>
      </w:pPr>
      <w:hyperlink r:id="rId15">
        <w:r>
          <w:rPr>
            <w:color w:val="235A78"/>
            <w:u w:val="single"/>
          </w:rPr>
          <w:t>Ollama structured outputs</w:t>
        </w:r>
      </w:hyperlink>
      <w:r>
        <w:t xml:space="preserve"> explains the JSON Schema format interface.</w:t>
      </w:r>
    </w:p>
    <w:p>
      <w:pPr>
        <w:pStyle w:val="ListBullet"/>
      </w:pPr>
      <w:hyperlink r:id="rId17">
        <w:r>
          <w:rPr>
            <w:color w:val="235A78"/>
            <w:u w:val="single"/>
          </w:rPr>
          <w:t>Ollama FAQ</w:t>
        </w:r>
      </w:hyperlink>
      <w:r>
        <w:t xml:space="preserve"> covers native server settings macOS environment configuration and loaded-model inspection.</w:t>
      </w:r>
    </w:p>
    <w:p>
      <w:pPr>
        <w:pStyle w:val="ListBullet"/>
      </w:pPr>
      <w:hyperlink r:id="rId12">
        <w:r>
          <w:rPr>
            <w:color w:val="235A78"/>
            <w:u w:val="single"/>
          </w:rPr>
          <w:t>Qwen3 4B</w:t>
        </w:r>
      </w:hyperlink>
      <w:r>
        <w:t xml:space="preserve"> identifies the selected answer model.</w:t>
      </w:r>
    </w:p>
    <w:p>
      <w:pPr>
        <w:pStyle w:val="ListBullet"/>
      </w:pPr>
      <w:hyperlink r:id="rId13">
        <w:r>
          <w:rPr>
            <w:color w:val="235A78"/>
            <w:u w:val="single"/>
          </w:rPr>
          <w:t>Qwen3 embedding 0 6B</w:t>
        </w:r>
      </w:hyperlink>
      <w:r>
        <w:t xml:space="preserve"> identifies the selected embedding model.</w:t>
      </w:r>
    </w:p>
    <w:p>
      <w:pPr>
        <w:pStyle w:val="ListBullet"/>
      </w:pPr>
      <w:r>
        <w:t>Official subject-source links and document identifiers are maintained in corpus/coverage.yaml and corpus/manifest.yaml; retrieve the actual pinned PDF before asserting what a law says.</w:t>
      </w:r>
    </w:p>
    <w:sectPr w:rsidR="00FC693F" w:rsidRPr="0006063C" w:rsidSect="00034616">
      <w:footerReference w:type="default" r:id="rId9"/>
      <w:footerReference w:type="first" r:id="rId10"/>
      <w:headerReference w:type="default" r:id="rId11"/>
      <w:pgSz w:w="11909" w:h="16834"/>
      <w:pgMar w:top="1008" w:right="1080" w:bottom="1008" w:left="1080"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PRAMANA Solution and Testing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60" w:line="240" w:lineRule="auto"/>
      <w:ind w:left="173"/>
    </w:pPr>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yperlink" Target="https://ollama.com/library/qwen3:4b" TargetMode="External"/><Relationship Id="rId13" Type="http://schemas.openxmlformats.org/officeDocument/2006/relationships/hyperlink" Target="https://ollama.com/library/qwen3-embedding:0.6b" TargetMode="External"/><Relationship Id="rId14" Type="http://schemas.openxmlformats.org/officeDocument/2006/relationships/hyperlink" Target="https://docs.sarvam.ai/api-reference/text-to-speech/convert" TargetMode="External"/><Relationship Id="rId15" Type="http://schemas.openxmlformats.org/officeDocument/2006/relationships/hyperlink" Target="https://docs.ollama.com/capabilities/structured-outputs" TargetMode="External"/><Relationship Id="rId16" Type="http://schemas.openxmlformats.org/officeDocument/2006/relationships/image" Target="media/image1.png"/><Relationship Id="rId17" Type="http://schemas.openxmlformats.org/officeDocument/2006/relationships/hyperlink" Target="https://docs.ollama.com/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PRAMANA Solution and Testing Guide</dc:title>
  <dc:subject>Architecture design reasoning operations and test procedures</dc:subject>
  <dc:creator/>
  <cp:keywords>PRAMANA Ollama testing citations history corpus</cp:keywords>
  <dc:description/>
  <cp:lastModifiedBy/>
  <cp:revision>1</cp:revision>
  <dcterms:created xsi:type="dcterms:W3CDTF">2013-12-23T23:15:00Z</dcterms:created>
  <dcterms:modified xsi:type="dcterms:W3CDTF">2013-12-23T23:15:00Z</dcterms:modified>
  <cp:category/>
</cp:coreProperties>
</file>