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1B5" w:rsidRPr="000251B5" w:rsidRDefault="000251B5" w:rsidP="000251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</w:rPr>
      </w:pPr>
      <w:r w:rsidRPr="000251B5">
        <w:rPr>
          <w:rFonts w:ascii="Arial" w:eastAsia="Times New Roman" w:hAnsi="Arial" w:cs="Arial"/>
          <w:b/>
          <w:bCs/>
          <w:kern w:val="36"/>
          <w:sz w:val="40"/>
          <w:szCs w:val="40"/>
        </w:rPr>
        <w:t xml:space="preserve">VAULTEN ADVISORY – CAPABILITY DECK </w:t>
      </w:r>
    </w:p>
    <w:p w:rsidR="000251B5" w:rsidRPr="000251B5" w:rsidRDefault="000251B5" w:rsidP="000251B5">
      <w:pPr>
        <w:spacing w:before="100" w:beforeAutospacing="1" w:after="100" w:afterAutospacing="1" w:line="240" w:lineRule="auto"/>
        <w:outlineLvl w:val="1"/>
        <w:rPr>
          <w:rFonts w:ascii="Mangal" w:eastAsia="Times New Roman" w:hAnsi="Mangal" w:cs="Mangal"/>
          <w:b/>
          <w:bCs/>
          <w:sz w:val="36"/>
          <w:szCs w:val="36"/>
        </w:rPr>
      </w:pPr>
      <w:r w:rsidRPr="000251B5">
        <w:rPr>
          <w:rFonts w:ascii="Mangal" w:eastAsia="Times New Roman" w:hAnsi="Mangal" w:cs="Mangal"/>
          <w:b/>
          <w:bCs/>
          <w:sz w:val="36"/>
          <w:szCs w:val="36"/>
        </w:rPr>
        <w:t>1. Integrated Management Systems (IMS)</w:t>
      </w:r>
    </w:p>
    <w:p w:rsidR="000251B5" w:rsidRPr="000251B5" w:rsidRDefault="000251B5" w:rsidP="000251B5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b/>
          <w:bCs/>
          <w:sz w:val="20"/>
        </w:rPr>
        <w:t>For High-growth organizations across Education, IT, Healthcare, and Services</w:t>
      </w:r>
    </w:p>
    <w:p w:rsidR="000251B5" w:rsidRPr="000251B5" w:rsidRDefault="000251B5" w:rsidP="0002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ISO 21001:2018 (EOMS)</w:t>
      </w:r>
    </w:p>
    <w:p w:rsidR="000251B5" w:rsidRPr="000251B5" w:rsidRDefault="000251B5" w:rsidP="0002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ISO 27001:2022 (ISMS)</w:t>
      </w:r>
    </w:p>
    <w:p w:rsidR="000251B5" w:rsidRPr="000251B5" w:rsidRDefault="000251B5" w:rsidP="0002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ISO 27701:2019 (PIMS)</w:t>
      </w:r>
    </w:p>
    <w:p w:rsidR="000251B5" w:rsidRPr="000251B5" w:rsidRDefault="000251B5" w:rsidP="0002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IMS Manuals, Policies, SOPs, RACI &amp; Evidence Registers</w:t>
      </w:r>
    </w:p>
    <w:p w:rsidR="000251B5" w:rsidRPr="000251B5" w:rsidRDefault="000251B5" w:rsidP="0002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Governance frameworks for councils, committees &amp; dashboards</w:t>
      </w:r>
    </w:p>
    <w:p w:rsidR="000251B5" w:rsidRPr="000251B5" w:rsidRDefault="000251B5" w:rsidP="00025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Risk management workshops &amp; institution-wide risk registers</w:t>
      </w:r>
    </w:p>
    <w:p w:rsidR="000251B5" w:rsidRPr="000251B5" w:rsidRDefault="000251B5" w:rsidP="000251B5">
      <w:pPr>
        <w:spacing w:before="100" w:beforeAutospacing="1" w:after="100" w:afterAutospacing="1" w:line="240" w:lineRule="auto"/>
        <w:outlineLvl w:val="1"/>
        <w:rPr>
          <w:rFonts w:ascii="Mangal" w:eastAsia="Times New Roman" w:hAnsi="Mangal" w:cs="Mangal"/>
          <w:b/>
          <w:bCs/>
          <w:sz w:val="36"/>
          <w:szCs w:val="36"/>
        </w:rPr>
      </w:pPr>
      <w:r w:rsidRPr="000251B5">
        <w:rPr>
          <w:rFonts w:ascii="Mangal" w:eastAsia="Times New Roman" w:hAnsi="Mangal" w:cs="Mangal"/>
          <w:b/>
          <w:bCs/>
          <w:sz w:val="36"/>
          <w:szCs w:val="36"/>
        </w:rPr>
        <w:t>2. Information Security &amp; Compliance</w:t>
      </w:r>
    </w:p>
    <w:p w:rsidR="000251B5" w:rsidRPr="000251B5" w:rsidRDefault="000251B5" w:rsidP="000251B5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 xml:space="preserve">For SaaS, IT Services, </w:t>
      </w:r>
      <w:proofErr w:type="spellStart"/>
      <w:r w:rsidRPr="000251B5">
        <w:rPr>
          <w:rFonts w:ascii="Mangal" w:eastAsia="Times New Roman" w:hAnsi="Mangal" w:cs="Mangal"/>
          <w:sz w:val="20"/>
        </w:rPr>
        <w:t>EdTech</w:t>
      </w:r>
      <w:proofErr w:type="spellEnd"/>
      <w:r w:rsidRPr="000251B5">
        <w:rPr>
          <w:rFonts w:ascii="Mangal" w:eastAsia="Times New Roman" w:hAnsi="Mangal" w:cs="Mangal"/>
          <w:sz w:val="20"/>
        </w:rPr>
        <w:t xml:space="preserve">, </w:t>
      </w:r>
      <w:proofErr w:type="spellStart"/>
      <w:r w:rsidRPr="000251B5">
        <w:rPr>
          <w:rFonts w:ascii="Mangal" w:eastAsia="Times New Roman" w:hAnsi="Mangal" w:cs="Mangal"/>
          <w:sz w:val="20"/>
        </w:rPr>
        <w:t>HealthTech</w:t>
      </w:r>
      <w:proofErr w:type="spellEnd"/>
      <w:r w:rsidRPr="000251B5">
        <w:rPr>
          <w:rFonts w:ascii="Mangal" w:eastAsia="Times New Roman" w:hAnsi="Mangal" w:cs="Mangal"/>
          <w:sz w:val="20"/>
        </w:rPr>
        <w:t>, and BPO/KPO companies:</w:t>
      </w:r>
    </w:p>
    <w:p w:rsidR="000251B5" w:rsidRPr="000251B5" w:rsidRDefault="000251B5" w:rsidP="0002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ISO 27001, 27701 implementation &amp; internal audit</w:t>
      </w:r>
    </w:p>
    <w:p w:rsidR="000251B5" w:rsidRPr="000251B5" w:rsidRDefault="000251B5" w:rsidP="0002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HITRUST CSF v11.5 implementation</w:t>
      </w:r>
    </w:p>
    <w:p w:rsidR="000251B5" w:rsidRPr="000251B5" w:rsidRDefault="000251B5" w:rsidP="0002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SOC 2 advisory</w:t>
      </w:r>
    </w:p>
    <w:p w:rsidR="000251B5" w:rsidRPr="000251B5" w:rsidRDefault="000251B5" w:rsidP="0002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Access Control, IAM, VAPT readiness &amp; evidence packs</w:t>
      </w:r>
    </w:p>
    <w:p w:rsidR="000251B5" w:rsidRPr="000251B5" w:rsidRDefault="000251B5" w:rsidP="00025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Cloud, server, network, database hardening (CIS-based)</w:t>
      </w:r>
    </w:p>
    <w:p w:rsidR="000251B5" w:rsidRPr="000251B5" w:rsidRDefault="000251B5" w:rsidP="000251B5">
      <w:pPr>
        <w:spacing w:before="100" w:beforeAutospacing="1" w:after="100" w:afterAutospacing="1" w:line="240" w:lineRule="auto"/>
        <w:outlineLvl w:val="1"/>
        <w:rPr>
          <w:rFonts w:ascii="Mangal" w:eastAsia="Times New Roman" w:hAnsi="Mangal" w:cs="Mangal"/>
          <w:b/>
          <w:bCs/>
          <w:sz w:val="36"/>
          <w:szCs w:val="36"/>
        </w:rPr>
      </w:pPr>
      <w:r w:rsidRPr="000251B5">
        <w:rPr>
          <w:rFonts w:ascii="Mangal" w:eastAsia="Times New Roman" w:hAnsi="Mangal" w:cs="Mangal"/>
          <w:b/>
          <w:bCs/>
          <w:sz w:val="36"/>
          <w:szCs w:val="36"/>
        </w:rPr>
        <w:t>3. Education Excellence &amp; Accreditation</w:t>
      </w:r>
    </w:p>
    <w:p w:rsidR="000251B5" w:rsidRPr="000251B5" w:rsidRDefault="000251B5" w:rsidP="000251B5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Specialized expertise across:</w:t>
      </w:r>
    </w:p>
    <w:p w:rsidR="000251B5" w:rsidRPr="000251B5" w:rsidRDefault="000251B5" w:rsidP="0002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NAAC (New Manual, DVV, Processes)</w:t>
      </w:r>
    </w:p>
    <w:p w:rsidR="000251B5" w:rsidRPr="000251B5" w:rsidRDefault="000251B5" w:rsidP="0002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NIRF (Data Systems &amp; Dashboard)</w:t>
      </w:r>
    </w:p>
    <w:p w:rsidR="000251B5" w:rsidRPr="000251B5" w:rsidRDefault="000251B5" w:rsidP="0002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NBA Readiness</w:t>
      </w:r>
    </w:p>
    <w:p w:rsidR="000251B5" w:rsidRPr="000251B5" w:rsidRDefault="000251B5" w:rsidP="0002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 xml:space="preserve">AACSB – </w:t>
      </w:r>
      <w:proofErr w:type="spellStart"/>
      <w:r w:rsidRPr="000251B5">
        <w:rPr>
          <w:rFonts w:ascii="Mangal" w:eastAsia="Times New Roman" w:hAnsi="Mangal" w:cs="Mangal"/>
          <w:sz w:val="20"/>
        </w:rPr>
        <w:t>AoL</w:t>
      </w:r>
      <w:proofErr w:type="spellEnd"/>
      <w:r w:rsidRPr="000251B5">
        <w:rPr>
          <w:rFonts w:ascii="Mangal" w:eastAsia="Times New Roman" w:hAnsi="Mangal" w:cs="Mangal"/>
          <w:sz w:val="20"/>
        </w:rPr>
        <w:t>, Standards Alignment, Assurance Systems</w:t>
      </w:r>
    </w:p>
    <w:p w:rsidR="000251B5" w:rsidRPr="000251B5" w:rsidRDefault="000251B5" w:rsidP="000251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Governance restructuring for multi-institution groups</w:t>
      </w:r>
    </w:p>
    <w:p w:rsidR="000251B5" w:rsidRPr="000251B5" w:rsidRDefault="000251B5" w:rsidP="000251B5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Deliverables include:</w:t>
      </w:r>
    </w:p>
    <w:p w:rsidR="000251B5" w:rsidRPr="000251B5" w:rsidRDefault="000251B5" w:rsidP="0002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QMS/EOMS process baselining</w:t>
      </w:r>
    </w:p>
    <w:p w:rsidR="000251B5" w:rsidRPr="000251B5" w:rsidRDefault="000251B5" w:rsidP="0002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Faculty onboarding frameworks</w:t>
      </w:r>
    </w:p>
    <w:p w:rsidR="000251B5" w:rsidRPr="000251B5" w:rsidRDefault="000251B5" w:rsidP="0002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Learning Outcome mapping &amp; dashboards</w:t>
      </w:r>
    </w:p>
    <w:p w:rsidR="000251B5" w:rsidRPr="000251B5" w:rsidRDefault="000251B5" w:rsidP="000251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 xml:space="preserve">Student lifecycle transformation (admissions </w:t>
      </w:r>
      <w:r w:rsidRPr="000251B5">
        <w:rPr>
          <w:rFonts w:ascii="Times New Roman" w:eastAsia="Times New Roman" w:hAnsi="Times New Roman" w:cs="Times New Roman"/>
          <w:sz w:val="20"/>
        </w:rPr>
        <w:t>→</w:t>
      </w:r>
      <w:r w:rsidRPr="000251B5">
        <w:rPr>
          <w:rFonts w:ascii="Mangal" w:eastAsia="Times New Roman" w:hAnsi="Mangal" w:cs="Mangal"/>
          <w:sz w:val="20"/>
        </w:rPr>
        <w:t xml:space="preserve"> academics </w:t>
      </w:r>
      <w:r w:rsidRPr="000251B5">
        <w:rPr>
          <w:rFonts w:ascii="Times New Roman" w:eastAsia="Times New Roman" w:hAnsi="Times New Roman" w:cs="Times New Roman"/>
          <w:sz w:val="20"/>
        </w:rPr>
        <w:t>→</w:t>
      </w:r>
      <w:r w:rsidRPr="000251B5">
        <w:rPr>
          <w:rFonts w:ascii="Mangal" w:eastAsia="Times New Roman" w:hAnsi="Mangal" w:cs="Mangal"/>
          <w:sz w:val="20"/>
        </w:rPr>
        <w:t xml:space="preserve"> placements)</w:t>
      </w:r>
    </w:p>
    <w:p w:rsidR="000251B5" w:rsidRPr="000251B5" w:rsidRDefault="000251B5" w:rsidP="000251B5">
      <w:pPr>
        <w:spacing w:before="100" w:beforeAutospacing="1" w:after="100" w:afterAutospacing="1" w:line="240" w:lineRule="auto"/>
        <w:outlineLvl w:val="1"/>
        <w:rPr>
          <w:rFonts w:ascii="Mangal" w:eastAsia="Times New Roman" w:hAnsi="Mangal" w:cs="Mangal"/>
          <w:b/>
          <w:bCs/>
          <w:sz w:val="36"/>
          <w:szCs w:val="36"/>
        </w:rPr>
      </w:pPr>
      <w:r w:rsidRPr="000251B5">
        <w:rPr>
          <w:rFonts w:ascii="Mangal" w:eastAsia="Times New Roman" w:hAnsi="Mangal" w:cs="Mangal"/>
          <w:b/>
          <w:bCs/>
          <w:sz w:val="36"/>
          <w:szCs w:val="36"/>
        </w:rPr>
        <w:lastRenderedPageBreak/>
        <w:t>4. Organizational Process Re-engineering</w:t>
      </w:r>
    </w:p>
    <w:p w:rsidR="000251B5" w:rsidRPr="000251B5" w:rsidRDefault="000251B5" w:rsidP="000251B5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We improve or rebuild core processes across:</w:t>
      </w:r>
    </w:p>
    <w:p w:rsidR="000251B5" w:rsidRPr="000251B5" w:rsidRDefault="000251B5" w:rsidP="0002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Admissions</w:t>
      </w:r>
    </w:p>
    <w:p w:rsidR="000251B5" w:rsidRPr="000251B5" w:rsidRDefault="000251B5" w:rsidP="0002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Placements</w:t>
      </w:r>
    </w:p>
    <w:p w:rsidR="000251B5" w:rsidRPr="000251B5" w:rsidRDefault="000251B5" w:rsidP="0002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Academic Operations</w:t>
      </w:r>
    </w:p>
    <w:p w:rsidR="000251B5" w:rsidRPr="000251B5" w:rsidRDefault="000251B5" w:rsidP="0002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HR &amp; Recruitment</w:t>
      </w:r>
    </w:p>
    <w:p w:rsidR="000251B5" w:rsidRPr="000251B5" w:rsidRDefault="000251B5" w:rsidP="0002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IT Governance</w:t>
      </w:r>
    </w:p>
    <w:p w:rsidR="000251B5" w:rsidRPr="000251B5" w:rsidRDefault="000251B5" w:rsidP="0002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Vendor &amp; Procurement</w:t>
      </w:r>
    </w:p>
    <w:p w:rsidR="000251B5" w:rsidRPr="000251B5" w:rsidRDefault="000251B5" w:rsidP="000251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Student Experience &amp; Service Delivery</w:t>
      </w:r>
    </w:p>
    <w:p w:rsidR="000251B5" w:rsidRPr="000251B5" w:rsidRDefault="000251B5" w:rsidP="000251B5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Outputs include:</w:t>
      </w:r>
    </w:p>
    <w:p w:rsidR="000251B5" w:rsidRPr="000251B5" w:rsidRDefault="000251B5" w:rsidP="0002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SOPs, process maps, risk controls</w:t>
      </w:r>
    </w:p>
    <w:p w:rsidR="000251B5" w:rsidRPr="000251B5" w:rsidRDefault="000251B5" w:rsidP="0002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Dashboards &amp; compliance mechanisms</w:t>
      </w:r>
    </w:p>
    <w:p w:rsidR="000251B5" w:rsidRPr="000251B5" w:rsidRDefault="000251B5" w:rsidP="000251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 xml:space="preserve">Automation roadmaps integrated with existing </w:t>
      </w:r>
      <w:r>
        <w:rPr>
          <w:rFonts w:ascii="Mangal" w:eastAsia="Times New Roman" w:hAnsi="Mangal" w:cs="Mangal"/>
          <w:sz w:val="20"/>
        </w:rPr>
        <w:t>systems (ERP, CRM, Superset</w:t>
      </w:r>
      <w:bookmarkStart w:id="0" w:name="_GoBack"/>
      <w:bookmarkEnd w:id="0"/>
      <w:r w:rsidRPr="000251B5">
        <w:rPr>
          <w:rFonts w:ascii="Mangal" w:eastAsia="Times New Roman" w:hAnsi="Mangal" w:cs="Mangal"/>
          <w:sz w:val="20"/>
        </w:rPr>
        <w:t xml:space="preserve">, </w:t>
      </w:r>
      <w:proofErr w:type="spellStart"/>
      <w:r w:rsidRPr="000251B5">
        <w:rPr>
          <w:rFonts w:ascii="Mangal" w:eastAsia="Times New Roman" w:hAnsi="Mangal" w:cs="Mangal"/>
          <w:sz w:val="20"/>
        </w:rPr>
        <w:t>Freshdesk</w:t>
      </w:r>
      <w:proofErr w:type="spellEnd"/>
      <w:r w:rsidRPr="000251B5">
        <w:rPr>
          <w:rFonts w:ascii="Mangal" w:eastAsia="Times New Roman" w:hAnsi="Mangal" w:cs="Mangal"/>
          <w:sz w:val="20"/>
        </w:rPr>
        <w:t>, etc.)</w:t>
      </w:r>
    </w:p>
    <w:p w:rsidR="000251B5" w:rsidRPr="000251B5" w:rsidRDefault="000251B5" w:rsidP="000251B5">
      <w:pPr>
        <w:spacing w:before="100" w:beforeAutospacing="1" w:after="100" w:afterAutospacing="1" w:line="240" w:lineRule="auto"/>
        <w:outlineLvl w:val="1"/>
        <w:rPr>
          <w:rFonts w:ascii="Mangal" w:eastAsia="Times New Roman" w:hAnsi="Mangal" w:cs="Mangal"/>
          <w:b/>
          <w:bCs/>
          <w:sz w:val="36"/>
          <w:szCs w:val="36"/>
        </w:rPr>
      </w:pPr>
      <w:r w:rsidRPr="000251B5">
        <w:rPr>
          <w:rFonts w:ascii="Mangal" w:eastAsia="Times New Roman" w:hAnsi="Mangal" w:cs="Mangal"/>
          <w:b/>
          <w:bCs/>
          <w:sz w:val="36"/>
          <w:szCs w:val="36"/>
        </w:rPr>
        <w:t>5. Governance, Risk &amp; Strategy Advisory</w:t>
      </w:r>
    </w:p>
    <w:p w:rsidR="000251B5" w:rsidRPr="000251B5" w:rsidRDefault="000251B5" w:rsidP="000251B5">
      <w:p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We work with Boards and Leadership Teams to:</w:t>
      </w:r>
    </w:p>
    <w:p w:rsidR="000251B5" w:rsidRPr="000251B5" w:rsidRDefault="000251B5" w:rsidP="0002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Build governance systems (QC, EC, Steering Committees)</w:t>
      </w:r>
    </w:p>
    <w:p w:rsidR="000251B5" w:rsidRPr="000251B5" w:rsidRDefault="000251B5" w:rsidP="0002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Identify enterprise risks and mitigation structures</w:t>
      </w:r>
    </w:p>
    <w:p w:rsidR="000251B5" w:rsidRPr="000251B5" w:rsidRDefault="000251B5" w:rsidP="0002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Drive strategy alignment across functions</w:t>
      </w:r>
    </w:p>
    <w:p w:rsidR="000251B5" w:rsidRPr="000251B5" w:rsidRDefault="000251B5" w:rsidP="000251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Conduct institutional culture &amp; process maturity assessments</w:t>
      </w:r>
    </w:p>
    <w:p w:rsidR="000251B5" w:rsidRPr="000251B5" w:rsidRDefault="000251B5" w:rsidP="000251B5">
      <w:pPr>
        <w:spacing w:before="100" w:beforeAutospacing="1" w:after="100" w:afterAutospacing="1" w:line="240" w:lineRule="auto"/>
        <w:outlineLvl w:val="1"/>
        <w:rPr>
          <w:rFonts w:ascii="Mangal" w:eastAsia="Times New Roman" w:hAnsi="Mangal" w:cs="Mangal"/>
          <w:b/>
          <w:bCs/>
          <w:sz w:val="36"/>
          <w:szCs w:val="36"/>
        </w:rPr>
      </w:pPr>
      <w:r w:rsidRPr="000251B5">
        <w:rPr>
          <w:rFonts w:ascii="Mangal" w:eastAsia="Times New Roman" w:hAnsi="Mangal" w:cs="Mangal"/>
          <w:b/>
          <w:bCs/>
          <w:sz w:val="36"/>
          <w:szCs w:val="36"/>
        </w:rPr>
        <w:t>6. Training, Capacity Building &amp; Leadership Development</w:t>
      </w:r>
    </w:p>
    <w:p w:rsidR="000251B5" w:rsidRPr="000251B5" w:rsidRDefault="000251B5" w:rsidP="0002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EOMS/ISMS/PIMS staff training</w:t>
      </w:r>
    </w:p>
    <w:p w:rsidR="000251B5" w:rsidRPr="000251B5" w:rsidRDefault="000251B5" w:rsidP="0002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Custom workshops for risk, quality, and process excellence</w:t>
      </w:r>
    </w:p>
    <w:p w:rsidR="000251B5" w:rsidRPr="000251B5" w:rsidRDefault="000251B5" w:rsidP="0002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Change management programs</w:t>
      </w:r>
    </w:p>
    <w:p w:rsidR="000251B5" w:rsidRPr="000251B5" w:rsidRDefault="000251B5" w:rsidP="0002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Student readiness &amp; employability frameworks</w:t>
      </w:r>
    </w:p>
    <w:p w:rsidR="000251B5" w:rsidRPr="000251B5" w:rsidRDefault="000251B5" w:rsidP="000251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Mangal" w:eastAsia="Times New Roman" w:hAnsi="Mangal" w:cs="Mangal"/>
          <w:sz w:val="20"/>
        </w:rPr>
      </w:pPr>
      <w:r w:rsidRPr="000251B5">
        <w:rPr>
          <w:rFonts w:ascii="Mangal" w:eastAsia="Times New Roman" w:hAnsi="Mangal" w:cs="Mangal"/>
          <w:sz w:val="20"/>
        </w:rPr>
        <w:t>Leadership &amp; quality induction programs</w:t>
      </w:r>
    </w:p>
    <w:p w:rsidR="00F078A3" w:rsidRDefault="00F078A3"/>
    <w:sectPr w:rsidR="00F0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27D7"/>
    <w:multiLevelType w:val="multilevel"/>
    <w:tmpl w:val="2224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63F89"/>
    <w:multiLevelType w:val="multilevel"/>
    <w:tmpl w:val="770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90BC1"/>
    <w:multiLevelType w:val="multilevel"/>
    <w:tmpl w:val="3E7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216E7"/>
    <w:multiLevelType w:val="multilevel"/>
    <w:tmpl w:val="7D9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F39DE"/>
    <w:multiLevelType w:val="multilevel"/>
    <w:tmpl w:val="82B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51F3A"/>
    <w:multiLevelType w:val="multilevel"/>
    <w:tmpl w:val="4C6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F0A81"/>
    <w:multiLevelType w:val="multilevel"/>
    <w:tmpl w:val="5D1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A275C"/>
    <w:multiLevelType w:val="multilevel"/>
    <w:tmpl w:val="6A88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B5"/>
    <w:rsid w:val="000251B5"/>
    <w:rsid w:val="00F0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3849"/>
  <w15:chartTrackingRefBased/>
  <w15:docId w15:val="{79D54C27-7A87-444A-BAC8-5681308C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1B5"/>
    <w:pPr>
      <w:spacing w:before="100" w:beforeAutospacing="1" w:after="100" w:afterAutospacing="1" w:line="240" w:lineRule="auto"/>
      <w:outlineLvl w:val="0"/>
    </w:pPr>
    <w:rPr>
      <w:rFonts w:ascii="Mangal" w:eastAsia="Times New Roman" w:hAnsi="Mangal" w:cs="Mangal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51B5"/>
    <w:pPr>
      <w:spacing w:before="100" w:beforeAutospacing="1" w:after="100" w:afterAutospacing="1" w:line="240" w:lineRule="auto"/>
      <w:outlineLvl w:val="1"/>
    </w:pPr>
    <w:rPr>
      <w:rFonts w:ascii="Mangal" w:eastAsia="Times New Roman" w:hAnsi="Mangal" w:cs="Mang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B5"/>
    <w:rPr>
      <w:rFonts w:ascii="Mangal" w:eastAsia="Times New Roman" w:hAnsi="Mangal" w:cs="Mangal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51B5"/>
    <w:rPr>
      <w:rFonts w:ascii="Mangal" w:eastAsia="Times New Roman" w:hAnsi="Mangal" w:cs="Mangal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51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1B5"/>
    <w:pPr>
      <w:spacing w:before="100" w:beforeAutospacing="1" w:after="100" w:afterAutospacing="1" w:line="240" w:lineRule="auto"/>
    </w:pPr>
    <w:rPr>
      <w:rFonts w:ascii="Mangal" w:eastAsia="Times New Roman" w:hAnsi="Mangal" w:cs="Mang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3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Fayaz</dc:creator>
  <cp:keywords/>
  <dc:description/>
  <cp:lastModifiedBy>Syed Fayaz</cp:lastModifiedBy>
  <cp:revision>1</cp:revision>
  <dcterms:created xsi:type="dcterms:W3CDTF">2025-11-26T11:51:00Z</dcterms:created>
  <dcterms:modified xsi:type="dcterms:W3CDTF">2025-11-26T11:54:00Z</dcterms:modified>
</cp:coreProperties>
</file>