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T-Cell Therapy Report</w:t>
      </w:r>
    </w:p>
    <w:p>
      <w:r>
        <w:rPr>
          <w:i/>
        </w:rPr>
        <w:t>Prepared as source material for presentation development (PPT).</w:t>
      </w:r>
    </w:p>
    <w:p>
      <w:pPr>
        <w:pStyle w:val="Heading1"/>
      </w:pPr>
      <w:r>
        <w:t>1) Definition</w:t>
      </w:r>
    </w:p>
    <w:p>
      <w:r>
        <w:t>Chimeric antigen receptor T-cell (CAR T-cell) therapy is a personalized cancer immunotherapy in which a patient's T cells are genetically modified to express a synthetic receptor that recognizes tumor antigens and directs targeted killing of cancer cells.</w:t>
      </w:r>
    </w:p>
    <w:p>
      <w:r>
        <w:t>CARs can recognize cell-surface antigens without requiring MHC presentation, enabling direct targeting (for example, CD19 or BCMA).</w:t>
      </w:r>
    </w:p>
    <w:p>
      <w:pPr>
        <w:pStyle w:val="Heading1"/>
      </w:pPr>
      <w:r>
        <w:t>2) How CAR T-Cell Therapy Works</w:t>
      </w:r>
    </w:p>
    <w:p>
      <w:pPr>
        <w:pStyle w:val="ListNumber"/>
      </w:pPr>
      <w:r>
        <w:t>Leukapheresis: collect T cells from patient blood.</w:t>
      </w:r>
    </w:p>
    <w:p>
      <w:pPr>
        <w:pStyle w:val="ListNumber"/>
      </w:pPr>
      <w:r>
        <w:t>Genetic modification: introduce a CAR gene (commonly using viral vectors).</w:t>
      </w:r>
    </w:p>
    <w:p>
      <w:pPr>
        <w:pStyle w:val="ListNumber"/>
      </w:pPr>
      <w:r>
        <w:t>Cell expansion: multiply modified cells in the laboratory.</w:t>
      </w:r>
    </w:p>
    <w:p>
      <w:pPr>
        <w:pStyle w:val="ListNumber"/>
      </w:pPr>
      <w:r>
        <w:t>Lymphodepletion: administer chemotherapy before infusion.</w:t>
      </w:r>
    </w:p>
    <w:p>
      <w:pPr>
        <w:pStyle w:val="ListNumber"/>
      </w:pPr>
      <w:r>
        <w:t>Infusion: return engineered CAR T cells to the patient.</w:t>
      </w:r>
    </w:p>
    <w:p>
      <w:pPr>
        <w:pStyle w:val="ListNumber"/>
      </w:pPr>
      <w:r>
        <w:t>In vivo activity: CAR T cells expand, recognize antigen, and kill target cells.</w:t>
      </w:r>
    </w:p>
    <w:p>
      <w:pPr>
        <w:pStyle w:val="Heading1"/>
      </w:pPr>
      <w:r>
        <w:t>3) CAR Structure</w:t>
      </w:r>
    </w:p>
    <w:p>
      <w:pPr>
        <w:pStyle w:val="ListBullet"/>
      </w:pPr>
      <w:r>
        <w:t>Antigen-recognition domain (usually antibody-derived scFv)</w:t>
      </w:r>
    </w:p>
    <w:p>
      <w:pPr>
        <w:pStyle w:val="ListBullet"/>
      </w:pPr>
      <w:r>
        <w:t>Hinge and transmembrane region</w:t>
      </w:r>
    </w:p>
    <w:p>
      <w:pPr>
        <w:pStyle w:val="ListBullet"/>
      </w:pPr>
      <w:r>
        <w:t>Intracellular signaling domain (CD3ζ)</w:t>
      </w:r>
    </w:p>
    <w:p>
      <w:pPr>
        <w:pStyle w:val="ListBullet"/>
      </w:pPr>
      <w:r>
        <w:t>Costimulatory domain (commonly CD28 or 4-1BB)</w:t>
      </w:r>
    </w:p>
    <w:p>
      <w:pPr>
        <w:pStyle w:val="Heading1"/>
      </w:pPr>
      <w:r>
        <w:t>4) Generations of CAR T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Generation</w:t>
            </w:r>
          </w:p>
        </w:tc>
        <w:tc>
          <w:tcPr>
            <w:tcW w:type="dxa" w:w="2880"/>
          </w:tcPr>
          <w:p>
            <w:r>
              <w:t>Main Feature</w:t>
            </w:r>
          </w:p>
        </w:tc>
        <w:tc>
          <w:tcPr>
            <w:tcW w:type="dxa" w:w="2880"/>
          </w:tcPr>
          <w:p>
            <w:r>
              <w:t>Limitation / Advantage</w:t>
            </w:r>
          </w:p>
        </w:tc>
      </w:tr>
      <w:tr>
        <w:tc>
          <w:tcPr>
            <w:tcW w:type="dxa" w:w="2880"/>
          </w:tcPr>
          <w:p>
            <w:r>
              <w:t>First</w:t>
            </w:r>
          </w:p>
        </w:tc>
        <w:tc>
          <w:tcPr>
            <w:tcW w:type="dxa" w:w="2880"/>
          </w:tcPr>
          <w:p>
            <w:r>
              <w:t>CD3ζ only</w:t>
            </w:r>
          </w:p>
        </w:tc>
        <w:tc>
          <w:tcPr>
            <w:tcW w:type="dxa" w:w="2880"/>
          </w:tcPr>
          <w:p>
            <w:r>
              <w:t>Limited persistence and activity</w:t>
            </w:r>
          </w:p>
        </w:tc>
      </w:tr>
      <w:tr>
        <w:tc>
          <w:tcPr>
            <w:tcW w:type="dxa" w:w="2880"/>
          </w:tcPr>
          <w:p>
            <w:r>
              <w:t>Second</w:t>
            </w:r>
          </w:p>
        </w:tc>
        <w:tc>
          <w:tcPr>
            <w:tcW w:type="dxa" w:w="2880"/>
          </w:tcPr>
          <w:p>
            <w:r>
              <w:t>CD3ζ + CD28 or 4-1BB</w:t>
            </w:r>
          </w:p>
        </w:tc>
        <w:tc>
          <w:tcPr>
            <w:tcW w:type="dxa" w:w="2880"/>
          </w:tcPr>
          <w:p>
            <w:r>
              <w:t>Improved expansion, persistence, and efficacy</w:t>
            </w:r>
          </w:p>
        </w:tc>
      </w:tr>
      <w:tr>
        <w:tc>
          <w:tcPr>
            <w:tcW w:type="dxa" w:w="2880"/>
          </w:tcPr>
          <w:p>
            <w:r>
              <w:t>Third</w:t>
            </w:r>
          </w:p>
        </w:tc>
        <w:tc>
          <w:tcPr>
            <w:tcW w:type="dxa" w:w="2880"/>
          </w:tcPr>
          <w:p>
            <w:r>
              <w:t>Two costimulatory domains</w:t>
            </w:r>
          </w:p>
        </w:tc>
        <w:tc>
          <w:tcPr>
            <w:tcW w:type="dxa" w:w="2880"/>
          </w:tcPr>
          <w:p>
            <w:r>
              <w:t>Potentially stronger activation; risk of more exhaustion/toxicity</w:t>
            </w:r>
          </w:p>
        </w:tc>
      </w:tr>
      <w:tr>
        <w:tc>
          <w:tcPr>
            <w:tcW w:type="dxa" w:w="2880"/>
          </w:tcPr>
          <w:p>
            <w:r>
              <w:t>Fourth</w:t>
            </w:r>
          </w:p>
        </w:tc>
        <w:tc>
          <w:tcPr>
            <w:tcW w:type="dxa" w:w="2880"/>
          </w:tcPr>
          <w:p>
            <w:r>
              <w:t>Engineered cytokine release / resistance features</w:t>
            </w:r>
          </w:p>
        </w:tc>
        <w:tc>
          <w:tcPr>
            <w:tcW w:type="dxa" w:w="2880"/>
          </w:tcPr>
          <w:p>
            <w:r>
              <w:t>Designed to improve activity in difficult microenvironments</w:t>
            </w:r>
          </w:p>
        </w:tc>
      </w:tr>
      <w:tr>
        <w:tc>
          <w:tcPr>
            <w:tcW w:type="dxa" w:w="2880"/>
          </w:tcPr>
          <w:p>
            <w:r>
              <w:t>Next-generation</w:t>
            </w:r>
          </w:p>
        </w:tc>
        <w:tc>
          <w:tcPr>
            <w:tcW w:type="dxa" w:w="2880"/>
          </w:tcPr>
          <w:p>
            <w:r>
              <w:t>Dual-target, logic-gated, armored, gene-edited, switchable</w:t>
            </w:r>
          </w:p>
        </w:tc>
        <w:tc>
          <w:tcPr>
            <w:tcW w:type="dxa" w:w="2880"/>
          </w:tcPr>
          <w:p>
            <w:r>
              <w:t>Aim to improve safety, precision, and durability</w:t>
            </w:r>
          </w:p>
        </w:tc>
      </w:tr>
    </w:tbl>
    <w:p>
      <w:r>
        <w:t>Most currently approved CAR T-cell products are based on second-generation designs.</w:t>
      </w:r>
    </w:p>
    <w:p>
      <w:pPr>
        <w:pStyle w:val="Heading1"/>
      </w:pPr>
      <w:r>
        <w:t>5) Clinical Applications</w:t>
      </w:r>
    </w:p>
    <w:p>
      <w:pPr>
        <w:pStyle w:val="ListBullet"/>
      </w:pPr>
      <w:r>
        <w:t>Blood cancers (major established use):</w:t>
      </w:r>
    </w:p>
    <w:p>
      <w:pPr>
        <w:pStyle w:val="ListBullet2"/>
      </w:pPr>
      <w:r>
        <w:t>B-cell acute lymphoblastic leukemia (B-ALL)</w:t>
      </w:r>
    </w:p>
    <w:p>
      <w:pPr>
        <w:pStyle w:val="ListBullet2"/>
      </w:pPr>
      <w:r>
        <w:t>Diffuse large B-cell lymphoma (DLBCL)</w:t>
      </w:r>
    </w:p>
    <w:p>
      <w:pPr>
        <w:pStyle w:val="ListBullet2"/>
      </w:pPr>
      <w:r>
        <w:t>Mantle cell lymphoma</w:t>
      </w:r>
    </w:p>
    <w:p>
      <w:pPr>
        <w:pStyle w:val="ListBullet2"/>
      </w:pPr>
      <w:r>
        <w:t>Follicular lymphoma</w:t>
      </w:r>
    </w:p>
    <w:p>
      <w:pPr>
        <w:pStyle w:val="ListBullet2"/>
      </w:pPr>
      <w:r>
        <w:t>Other B-cell non-Hodgkin lymphomas</w:t>
      </w:r>
    </w:p>
    <w:p>
      <w:pPr>
        <w:pStyle w:val="ListBullet"/>
      </w:pPr>
      <w:r>
        <w:t>Multiple myeloma: BCMA-targeted CAR T-cell therapies (e.g., idecabtagene vicleucel and ciltacabtagene autoleucel).</w:t>
      </w:r>
    </w:p>
    <w:p>
      <w:pPr>
        <w:pStyle w:val="ListBullet"/>
      </w:pPr>
      <w:r>
        <w:t>Solid tumors under investigation: glioblastoma, pancreatic cancer, ovarian cancer, sarcomas, neuroblastoma, colorectal cancer, and others.</w:t>
      </w:r>
    </w:p>
    <w:p>
      <w:pPr>
        <w:pStyle w:val="Heading1"/>
      </w:pPr>
      <w:r>
        <w:t>6) Evidence of Effectiveness</w:t>
      </w:r>
    </w:p>
    <w:p>
      <w:pPr>
        <w:pStyle w:val="ListBullet"/>
      </w:pPr>
      <w:r>
        <w:t>In relapsed B-ALL, open-access data reported complete remission in about 83% of treated adults in one major study.</w:t>
      </w:r>
    </w:p>
    <w:p>
      <w:pPr>
        <w:pStyle w:val="ListBullet"/>
      </w:pPr>
      <w:r>
        <w:t>In heavily pretreated multiple myeloma (KarMMa study), idecabtagene vicleucel showed approximately 73% overall response with about 33% complete responses.</w:t>
      </w:r>
    </w:p>
    <w:p>
      <w:pPr>
        <w:pStyle w:val="ListBullet"/>
      </w:pPr>
      <w:r>
        <w:t>Clinical significance: some patients achieve deep, durable remissions after failure of standard therapies.</w:t>
      </w:r>
    </w:p>
    <w:p>
      <w:pPr>
        <w:pStyle w:val="Heading1"/>
      </w:pPr>
      <w:r>
        <w:t>7) Major Side Effects</w:t>
      </w:r>
    </w:p>
    <w:p>
      <w:pPr>
        <w:pStyle w:val="Heading2"/>
      </w:pPr>
      <w:r>
        <w:t>7.1 Cytokine Release Syndrome (CRS)</w:t>
      </w:r>
    </w:p>
    <w:p>
      <w:pPr>
        <w:pStyle w:val="ListBullet"/>
      </w:pPr>
      <w:r>
        <w:t>Common findings: fever, hypotension, tachycardia, hypoxia, and in severe cases organ dysfunction.</w:t>
      </w:r>
    </w:p>
    <w:p>
      <w:pPr>
        <w:pStyle w:val="ListBullet"/>
      </w:pPr>
      <w:r>
        <w:t>Management includes supportive care and IL-6 pathway blockade (e.g., tocilizumab) when indicated.</w:t>
      </w:r>
    </w:p>
    <w:p>
      <w:pPr>
        <w:pStyle w:val="Heading2"/>
      </w:pPr>
      <w:r>
        <w:t>7.2 ICANS (Immune Effector Cell-Associated Neurotoxicity Syndrome)</w:t>
      </w:r>
    </w:p>
    <w:p>
      <w:pPr>
        <w:pStyle w:val="ListBullet"/>
      </w:pPr>
      <w:r>
        <w:t>Possible features: confusion, aphasia, tremor, somnolence, seizures, and rarely cerebral edema.</w:t>
      </w:r>
    </w:p>
    <w:p>
      <w:pPr>
        <w:pStyle w:val="ListBullet"/>
      </w:pPr>
      <w:r>
        <w:t>Requires close post-infusion monitoring and rapid toxicity management.</w:t>
      </w:r>
    </w:p>
    <w:p>
      <w:pPr>
        <w:pStyle w:val="Heading2"/>
      </w:pPr>
      <w:r>
        <w:t>7.3 Other Complications</w:t>
      </w:r>
    </w:p>
    <w:p>
      <w:pPr>
        <w:pStyle w:val="ListBullet"/>
      </w:pPr>
      <w:r>
        <w:t>Prolonged cytopenias</w:t>
      </w:r>
    </w:p>
    <w:p>
      <w:pPr>
        <w:pStyle w:val="ListBullet"/>
      </w:pPr>
      <w:r>
        <w:t>Infections</w:t>
      </w:r>
    </w:p>
    <w:p>
      <w:pPr>
        <w:pStyle w:val="ListBullet"/>
      </w:pPr>
      <w:r>
        <w:t>B-cell aplasia and hypogammaglobulinemia (after CD19 targeting)</w:t>
      </w:r>
    </w:p>
    <w:p>
      <w:pPr>
        <w:pStyle w:val="ListBullet"/>
      </w:pPr>
      <w:r>
        <w:t>Fatigue</w:t>
      </w:r>
    </w:p>
    <w:p>
      <w:pPr>
        <w:pStyle w:val="ListBullet"/>
      </w:pPr>
      <w:r>
        <w:t>Tumor lysis syndrome</w:t>
      </w:r>
    </w:p>
    <w:p>
      <w:pPr>
        <w:pStyle w:val="ListBullet"/>
      </w:pPr>
      <w:r>
        <w:t>Long-term safety concerns including rare secondary malignancies</w:t>
      </w:r>
    </w:p>
    <w:p>
      <w:pPr>
        <w:pStyle w:val="Heading1"/>
      </w:pPr>
      <w:r>
        <w:t>8) Key Limitations</w:t>
      </w:r>
    </w:p>
    <w:p>
      <w:pPr>
        <w:pStyle w:val="ListBullet"/>
      </w:pPr>
      <w:r>
        <w:t>Antigen escape (e.g., CD19-negative relapse)</w:t>
      </w:r>
    </w:p>
    <w:p>
      <w:pPr>
        <w:pStyle w:val="ListBullet"/>
      </w:pPr>
      <w:r>
        <w:t>T-cell exhaustion and reduced persistence</w:t>
      </w:r>
    </w:p>
    <w:p>
      <w:pPr>
        <w:pStyle w:val="ListBullet"/>
      </w:pPr>
      <w:r>
        <w:t>Lower effectiveness in solid tumors due to trafficking and microenvironment barriers</w:t>
      </w:r>
    </w:p>
    <w:p>
      <w:pPr>
        <w:pStyle w:val="ListBullet"/>
      </w:pPr>
      <w:r>
        <w:t>Autologous manufacturing time (weeks)</w:t>
      </w:r>
    </w:p>
    <w:p>
      <w:pPr>
        <w:pStyle w:val="ListBullet"/>
      </w:pPr>
      <w:r>
        <w:t>High cost and specialized infrastructure</w:t>
      </w:r>
    </w:p>
    <w:p>
      <w:pPr>
        <w:pStyle w:val="ListBullet"/>
      </w:pPr>
      <w:r>
        <w:t>Relapse despite initial response</w:t>
      </w:r>
    </w:p>
    <w:p>
      <w:pPr>
        <w:pStyle w:val="Heading1"/>
      </w:pPr>
      <w:r>
        <w:t>9) Strategies to Improve Therapy</w:t>
      </w:r>
    </w:p>
    <w:p>
      <w:pPr>
        <w:pStyle w:val="ListBullet"/>
      </w:pPr>
      <w:r>
        <w:t>Dual-target or multi-target CARs</w:t>
      </w:r>
    </w:p>
    <w:p>
      <w:pPr>
        <w:pStyle w:val="ListBullet"/>
      </w:pPr>
      <w:r>
        <w:t>Armored CAR T cells to resist suppression</w:t>
      </w:r>
    </w:p>
    <w:p>
      <w:pPr>
        <w:pStyle w:val="ListBullet"/>
      </w:pPr>
      <w:r>
        <w:t>Gene editing to reduce exhaustion/rejection</w:t>
      </w:r>
    </w:p>
    <w:p>
      <w:pPr>
        <w:pStyle w:val="ListBullet"/>
      </w:pPr>
      <w:r>
        <w:t>Allogeneic (off-the-shelf) products</w:t>
      </w:r>
    </w:p>
    <w:p>
      <w:pPr>
        <w:pStyle w:val="ListBullet"/>
      </w:pPr>
      <w:r>
        <w:t>CAR-NK approaches</w:t>
      </w:r>
    </w:p>
    <w:p>
      <w:pPr>
        <w:pStyle w:val="ListBullet"/>
      </w:pPr>
      <w:r>
        <w:t>Combination strategies (checkpoint inhibitors, antibodies, targeted agents, radiation)</w:t>
      </w:r>
    </w:p>
    <w:p>
      <w:pPr>
        <w:pStyle w:val="ListBullet"/>
      </w:pPr>
      <w:r>
        <w:t>Regional delivery for selected tumors</w:t>
      </w:r>
    </w:p>
    <w:p>
      <w:pPr>
        <w:pStyle w:val="ListBullet"/>
      </w:pPr>
      <w:r>
        <w:t>In vivo CAR engineering</w:t>
      </w:r>
    </w:p>
    <w:p>
      <w:pPr>
        <w:pStyle w:val="Heading1"/>
      </w:pPr>
      <w:r>
        <w:t>10) Applications Beyond Cancer</w:t>
      </w:r>
    </w:p>
    <w:p>
      <w:r>
        <w:t>CAR-based approaches are being explored in autoimmune diseases to remove autoreactive B-cell populations.</w:t>
      </w:r>
    </w:p>
    <w:p>
      <w:pPr>
        <w:pStyle w:val="ListBullet"/>
      </w:pPr>
      <w:r>
        <w:t>Systemic lupus erythematosus</w:t>
      </w:r>
    </w:p>
    <w:p>
      <w:pPr>
        <w:pStyle w:val="ListBullet"/>
      </w:pPr>
      <w:r>
        <w:t>Systemic sclerosis</w:t>
      </w:r>
    </w:p>
    <w:p>
      <w:pPr>
        <w:pStyle w:val="ListBullet"/>
      </w:pPr>
      <w:r>
        <w:t>Idiopathic inflammatory myopathies</w:t>
      </w:r>
    </w:p>
    <w:p>
      <w:pPr>
        <w:pStyle w:val="ListBullet"/>
      </w:pPr>
      <w:r>
        <w:t>Multiple sclerosis</w:t>
      </w:r>
    </w:p>
    <w:p>
      <w:pPr>
        <w:pStyle w:val="ListBullet"/>
      </w:pPr>
      <w:r>
        <w:t>Other antibody-mediated diseases</w:t>
      </w:r>
    </w:p>
    <w:p>
      <w:r>
        <w:t>Current evidence is promising but still early; larger controlled studies are needed.</w:t>
      </w:r>
    </w:p>
    <w:p>
      <w:pPr>
        <w:pStyle w:val="Heading1"/>
      </w:pPr>
      <w:r>
        <w:t>11) Advantages and Disadvantages</w:t>
      </w:r>
    </w:p>
    <w:p>
      <w:pPr>
        <w:pStyle w:val="ListBullet"/>
      </w:pPr>
      <w:r>
        <w:t>Advantages</w:t>
      </w:r>
    </w:p>
    <w:p>
      <w:pPr>
        <w:pStyle w:val="ListBullet2"/>
      </w:pPr>
      <w:r>
        <w:t>High target specificity</w:t>
      </w:r>
    </w:p>
    <w:p>
      <w:pPr>
        <w:pStyle w:val="ListBullet2"/>
      </w:pPr>
      <w:r>
        <w:t>Potential efficacy after conventional treatment failure</w:t>
      </w:r>
    </w:p>
    <w:p>
      <w:pPr>
        <w:pStyle w:val="ListBullet2"/>
      </w:pPr>
      <w:r>
        <w:t>Possibility of durable remission</w:t>
      </w:r>
    </w:p>
    <w:p>
      <w:pPr>
        <w:pStyle w:val="ListBullet2"/>
      </w:pPr>
      <w:r>
        <w:t>Immune memory potential</w:t>
      </w:r>
    </w:p>
    <w:p>
      <w:pPr>
        <w:pStyle w:val="ListBullet2"/>
      </w:pPr>
      <w:r>
        <w:t>Established role in several difficult blood cancers</w:t>
      </w:r>
    </w:p>
    <w:p>
      <w:pPr>
        <w:pStyle w:val="ListBullet"/>
      </w:pPr>
      <w:r>
        <w:t>Disadvantages</w:t>
      </w:r>
    </w:p>
    <w:p>
      <w:pPr>
        <w:pStyle w:val="ListBullet2"/>
      </w:pPr>
      <w:r>
        <w:t>Risk of severe inflammatory and neurologic toxicities</w:t>
      </w:r>
    </w:p>
    <w:p>
      <w:pPr>
        <w:pStyle w:val="ListBullet2"/>
      </w:pPr>
      <w:r>
        <w:t>High cost and technical complexity</w:t>
      </w:r>
    </w:p>
    <w:p>
      <w:pPr>
        <w:pStyle w:val="ListBullet2"/>
      </w:pPr>
      <w:r>
        <w:t>Need for specialized treatment centers</w:t>
      </w:r>
    </w:p>
    <w:p>
      <w:pPr>
        <w:pStyle w:val="ListBullet2"/>
      </w:pPr>
      <w:r>
        <w:t>Manufacturing delay for autologous products</w:t>
      </w:r>
    </w:p>
    <w:p>
      <w:pPr>
        <w:pStyle w:val="ListBullet2"/>
      </w:pPr>
      <w:r>
        <w:t>Relapse risk and variable long-term durability</w:t>
      </w:r>
    </w:p>
    <w:p>
      <w:pPr>
        <w:pStyle w:val="ListBullet2"/>
      </w:pPr>
      <w:r>
        <w:t>Limited success in most solid tumors to date</w:t>
      </w:r>
    </w:p>
    <w:p>
      <w:pPr>
        <w:pStyle w:val="Heading1"/>
      </w:pPr>
      <w:r>
        <w:t>12) Conclusion</w:t>
      </w:r>
    </w:p>
    <w:p>
      <w:r>
        <w:t>CAR T-cell therapy is a major advance in modern immuno-oncology, with transformative impact in selected hematologic malignancies and multiple myeloma. The next phase of progress depends on improved safety, broader access, stronger durability, and better efficacy in solid tumors.</w:t>
      </w:r>
    </w:p>
    <w:p>
      <w:r>
        <w:t>Main presentation takeaway: CAR T-cell therapy has changed outcomes in blood cancers, but the key challenge is making it safer, more scalable, and effective beyond current indications.</w:t>
      </w:r>
    </w:p>
    <w:p>
      <w:pPr>
        <w:pStyle w:val="Heading1"/>
      </w:pPr>
      <w:r>
        <w:t>13) Suggested PPT Structure</w:t>
      </w:r>
    </w:p>
    <w:p>
      <w:pPr>
        <w:pStyle w:val="ListNumber"/>
      </w:pPr>
      <w:r>
        <w:t>Title: CAR T-Cell Therapy</w:t>
      </w:r>
    </w:p>
    <w:p>
      <w:pPr>
        <w:pStyle w:val="ListNumber"/>
      </w:pPr>
      <w:r>
        <w:t>Definition and basic concept</w:t>
      </w:r>
    </w:p>
    <w:p>
      <w:pPr>
        <w:pStyle w:val="ListNumber"/>
      </w:pPr>
      <w:r>
        <w:t>Structure of a CAR receptor</w:t>
      </w:r>
    </w:p>
    <w:p>
      <w:pPr>
        <w:pStyle w:val="ListNumber"/>
      </w:pPr>
      <w:r>
        <w:t>Manufacturing and treatment process</w:t>
      </w:r>
    </w:p>
    <w:p>
      <w:pPr>
        <w:pStyle w:val="ListNumber"/>
      </w:pPr>
      <w:r>
        <w:t>Generations of CAR T cells</w:t>
      </w:r>
    </w:p>
    <w:p>
      <w:pPr>
        <w:pStyle w:val="ListNumber"/>
      </w:pPr>
      <w:r>
        <w:t>Clinical applications</w:t>
      </w:r>
    </w:p>
    <w:p>
      <w:pPr>
        <w:pStyle w:val="ListNumber"/>
      </w:pPr>
      <w:r>
        <w:t>Evidence from major clinical studies</w:t>
      </w:r>
    </w:p>
    <w:p>
      <w:pPr>
        <w:pStyle w:val="ListNumber"/>
      </w:pPr>
      <w:r>
        <w:t>Major side effects: CRS and ICANS</w:t>
      </w:r>
    </w:p>
    <w:p>
      <w:pPr>
        <w:pStyle w:val="ListNumber"/>
      </w:pPr>
      <w:r>
        <w:t>Limitations and mechanisms of relapse</w:t>
      </w:r>
    </w:p>
    <w:p>
      <w:pPr>
        <w:pStyle w:val="ListNumber"/>
      </w:pPr>
      <w:r>
        <w:t>New-generation CAR T-cell approaches</w:t>
      </w:r>
    </w:p>
    <w:p>
      <w:pPr>
        <w:pStyle w:val="ListNumber"/>
      </w:pPr>
      <w:r>
        <w:t>Applications beyond cancer</w:t>
      </w:r>
    </w:p>
    <w:p>
      <w:pPr>
        <w:pStyle w:val="ListNumber"/>
      </w:pPr>
      <w:r>
        <w:t>Conclusion and future outlook</w:t>
      </w:r>
    </w:p>
    <w:p>
      <w:pPr>
        <w:pStyle w:val="Heading1"/>
      </w:pPr>
      <w:r>
        <w:t>14) Free-to-Access Papers and Reviews (with URLs)</w:t>
      </w:r>
    </w:p>
    <w:p>
      <w:r>
        <w:t xml:space="preserve">1. CAR-T cell therapy: developments, challenges and expanded applications from cancer to autoimmunity (2025) - </w:t>
      </w:r>
      <w:hyperlink r:id="rId9">
        <w:r>
          <w:rPr>
            <w:color w:val="0000FF"/>
            <w:u w:val="single"/>
          </w:rPr>
          <w:t>https://pmc.ncbi.nlm.nih.gov/articles/PMC11754230/</w:t>
        </w:r>
      </w:hyperlink>
    </w:p>
    <w:p>
      <w:r>
        <w:t xml:space="preserve">2. Harnessing the potential of CAR-T cell therapy: progress, challenges, and future directions in hematological and solid tumor treatments - </w:t>
      </w:r>
      <w:hyperlink r:id="rId10">
        <w:r>
          <w:rPr>
            <w:color w:val="0000FF"/>
            <w:u w:val="single"/>
          </w:rPr>
          <w:t>https://pmc.ncbi.nlm.nih.gov/articles/PMC10327392/</w:t>
        </w:r>
      </w:hyperlink>
    </w:p>
    <w:p>
      <w:r>
        <w:t xml:space="preserve">3. CAR-T-Cell-Based Cancer Immunotherapies: Potentials, Limitations, and Future Prospects (2024) - </w:t>
      </w:r>
      <w:hyperlink r:id="rId11">
        <w:r>
          <w:rPr>
            <w:color w:val="0000FF"/>
            <w:u w:val="single"/>
          </w:rPr>
          <w:t>https://pmc.ncbi.nlm.nih.gov/articles/PMC11172642/</w:t>
        </w:r>
      </w:hyperlink>
    </w:p>
    <w:p>
      <w:r>
        <w:t xml:space="preserve">4. CAR-T cell therapy: current limitations and potential strategies - </w:t>
      </w:r>
      <w:hyperlink r:id="rId12">
        <w:r>
          <w:rPr>
            <w:color w:val="0000FF"/>
            <w:u w:val="single"/>
          </w:rPr>
          <w:t>https://pmc.ncbi.nlm.nih.gov/articles/PMC8024391/</w:t>
        </w:r>
      </w:hyperlink>
    </w:p>
    <w:p>
      <w:r>
        <w:t xml:space="preserve">5. CAR T-cell therapy for cancer: current challenges and future directions (2025) - </w:t>
      </w:r>
      <w:hyperlink r:id="rId13">
        <w:r>
          <w:rPr>
            <w:color w:val="0000FF"/>
            <w:u w:val="single"/>
          </w:rPr>
          <w:t>https://pmc.ncbi.nlm.nih.gov/articles/pmid/40610404/</w:t>
        </w:r>
      </w:hyperlink>
    </w:p>
    <w:p>
      <w:r>
        <w:t xml:space="preserve">6. Long-Term Follow-up of CD19 CAR Therapy in Acute Lymphoblastic Leukemia - </w:t>
      </w:r>
      <w:hyperlink r:id="rId14">
        <w:r>
          <w:rPr>
            <w:color w:val="0000FF"/>
            <w:u w:val="single"/>
          </w:rPr>
          <w:t>https://pmc.ncbi.nlm.nih.gov/articles/6637939/</w:t>
        </w:r>
      </w:hyperlink>
    </w:p>
    <w:p>
      <w:r>
        <w:t xml:space="preserve">7. Long-term follow-up of CD19-CAR T-cell therapy in children and young adults with B-ALL - </w:t>
      </w:r>
      <w:hyperlink r:id="rId15">
        <w:r>
          <w:rPr>
            <w:color w:val="0000FF"/>
            <w:u w:val="single"/>
          </w:rPr>
          <w:t>https://pmc.ncbi.nlm.nih.gov/articles/PMC10727115/</w:t>
        </w:r>
      </w:hyperlink>
    </w:p>
    <w:p>
      <w:r>
        <w:t xml:space="preserve">8. Chimeric Antigen Receptor T Cells in the Treatment of Multiple Myeloma - </w:t>
      </w:r>
      <w:hyperlink r:id="rId16">
        <w:r>
          <w:rPr>
            <w:color w:val="0000FF"/>
            <w:u w:val="single"/>
          </w:rPr>
          <w:t>https://pmc.ncbi.nlm.nih.gov/articles/PMC11000527/</w:t>
        </w:r>
      </w:hyperlink>
    </w:p>
    <w:p>
      <w:r>
        <w:t xml:space="preserve">9. The next innovations in chimeric antigen receptor T cell immunotherapies for cancer (2025) - </w:t>
      </w:r>
      <w:hyperlink r:id="rId17">
        <w:r>
          <w:rPr>
            <w:color w:val="0000FF"/>
            <w:u w:val="single"/>
          </w:rPr>
          <w:t>https://pubmed.ncbi.nlm.nih.gov/40542808/</w:t>
        </w:r>
      </w:hyperlink>
    </w:p>
    <w:p>
      <w:r>
        <w:t xml:space="preserve">10. Chimeric antigen receptor T-cell therapy for glioblastoma: current clinical insights, challenges, and future directions - </w:t>
      </w:r>
      <w:hyperlink r:id="rId18">
        <w:r>
          <w:rPr>
            <w:color w:val="0000FF"/>
            <w:u w:val="single"/>
          </w:rPr>
          <w:t>https://pubmed.ncbi.nlm.nih.gov/41176315/</w:t>
        </w:r>
      </w:hyperlink>
    </w:p>
    <w:p>
      <w:r>
        <w:t xml:space="preserve">11. Approved cellular and gene therapy products (FDA) - </w:t>
      </w:r>
      <w:hyperlink r:id="rId19">
        <w:r>
          <w:rPr>
            <w:color w:val="0000FF"/>
            <w:u w:val="single"/>
          </w:rPr>
          <w:t>https://www.fda.gov/vaccines-blood-biologics/cellular-gene-therapy-products/approved-cellular-and-gene-therapy-products</w:t>
        </w:r>
      </w:hyperlink>
    </w:p>
    <w:p>
      <w:r>
        <w:t xml:space="preserve">12. CAR T-cell Patient Education Sheet (NCI/CCR) - </w:t>
      </w:r>
      <w:hyperlink r:id="rId20">
        <w:r>
          <w:rPr>
            <w:color w:val="0000FF"/>
            <w:u w:val="single"/>
          </w:rPr>
          <w:t>https://ccr.cancer.gov/sites/default/files/inline-files/CAR%20T-cell%20Patient%20Education%20Sheet.pdf</w:t>
        </w:r>
      </w:hyperlink>
    </w:p>
    <w:p>
      <w:r>
        <w:t xml:space="preserve">13. CAR T-cell therapy for treatment-refractory rheumatic autoimmune diseases (2026 systematic review) - </w:t>
      </w:r>
      <w:hyperlink r:id="rId21">
        <w:r>
          <w:rPr>
            <w:color w:val="0000FF"/>
            <w:u w:val="single"/>
          </w:rPr>
          <w:t>https://pubmed.ncbi.nlm.nih.gov/41781158/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1754230/" TargetMode="External"/><Relationship Id="rId10" Type="http://schemas.openxmlformats.org/officeDocument/2006/relationships/hyperlink" Target="https://pmc.ncbi.nlm.nih.gov/articles/PMC10327392/" TargetMode="External"/><Relationship Id="rId11" Type="http://schemas.openxmlformats.org/officeDocument/2006/relationships/hyperlink" Target="https://pmc.ncbi.nlm.nih.gov/articles/PMC11172642/" TargetMode="External"/><Relationship Id="rId12" Type="http://schemas.openxmlformats.org/officeDocument/2006/relationships/hyperlink" Target="https://pmc.ncbi.nlm.nih.gov/articles/PMC8024391/" TargetMode="External"/><Relationship Id="rId13" Type="http://schemas.openxmlformats.org/officeDocument/2006/relationships/hyperlink" Target="https://pmc.ncbi.nlm.nih.gov/articles/pmid/40610404/" TargetMode="External"/><Relationship Id="rId14" Type="http://schemas.openxmlformats.org/officeDocument/2006/relationships/hyperlink" Target="https://pmc.ncbi.nlm.nih.gov/articles/6637939/" TargetMode="External"/><Relationship Id="rId15" Type="http://schemas.openxmlformats.org/officeDocument/2006/relationships/hyperlink" Target="https://pmc.ncbi.nlm.nih.gov/articles/PMC10727115/" TargetMode="External"/><Relationship Id="rId16" Type="http://schemas.openxmlformats.org/officeDocument/2006/relationships/hyperlink" Target="https://pmc.ncbi.nlm.nih.gov/articles/PMC11000527/" TargetMode="External"/><Relationship Id="rId17" Type="http://schemas.openxmlformats.org/officeDocument/2006/relationships/hyperlink" Target="https://pubmed.ncbi.nlm.nih.gov/40542808/" TargetMode="External"/><Relationship Id="rId18" Type="http://schemas.openxmlformats.org/officeDocument/2006/relationships/hyperlink" Target="https://pubmed.ncbi.nlm.nih.gov/41176315/" TargetMode="External"/><Relationship Id="rId19" Type="http://schemas.openxmlformats.org/officeDocument/2006/relationships/hyperlink" Target="https://www.fda.gov/vaccines-blood-biologics/cellular-gene-therapy-products/approved-cellular-and-gene-therapy-products" TargetMode="External"/><Relationship Id="rId20" Type="http://schemas.openxmlformats.org/officeDocument/2006/relationships/hyperlink" Target="https://ccr.cancer.gov/sites/default/files/inline-files/CAR%20T-cell%20Patient%20Education%20Sheet.pdf" TargetMode="External"/><Relationship Id="rId21" Type="http://schemas.openxmlformats.org/officeDocument/2006/relationships/hyperlink" Target="https://pubmed.ncbi.nlm.nih.gov/417811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