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564"/>
        </w:rPr>
        <w:t>Is Gold a Good Investment Right Now?</w:t>
      </w:r>
    </w:p>
    <w:p>
      <w:pPr>
        <w:jc w:val="center"/>
      </w:pPr>
      <w:r>
        <w:rPr>
          <w:i/>
          <w:color w:val="606060"/>
        </w:rPr>
        <w:t>A comprehensive assessment of gold's suitability in the March 2026 investment landscape</w:t>
      </w:r>
    </w:p>
    <w:p/>
    <w:p>
      <w:pPr>
        <w:pStyle w:val="Heading1"/>
      </w:pPr>
      <w:r>
        <w:t>Current Market Position and Price Dynamics</w:t>
      </w:r>
    </w:p>
    <w:p>
      <w:pPr>
        <w:spacing w:after="120"/>
      </w:pPr>
      <w:r>
        <w:t>Gold trades at approximately $4,509 per troy ounce as of March 2026, representing a remarkable structural shift from pre-2022 levels near $1,800. Over the past 12 months alone, gold has delivered +25.5% returns, continuing a powerful multi-year uptrend that began with the Russia-Ukraine invasion in February 2022. The asset has broken through successive psychological thresholds—$2,000, $4,000, and briefly touching $5,434 during peak geopolitical escalations—establishing durable support far above historical baselines. This performance reflects convergence of geopolitical tensions, central bank de-dollarization efforts, and investor risk aversion.</w:t>
      </w:r>
    </w:p>
    <w:p>
      <w:pPr>
        <w:pStyle w:val="ListBullet"/>
      </w:pPr>
      <w:r>
        <w:t>One-year return: +25.5% (outperforming equities and bonds substantially)</w:t>
      </w:r>
    </w:p>
    <w:p>
      <w:pPr>
        <w:pStyle w:val="ListBullet"/>
      </w:pPr>
      <w:r>
        <w:t>Five-year annualized return: 18.4% (versus equities at 12.5%, sovereign bonds at −1.1%)</w:t>
      </w:r>
    </w:p>
    <w:p>
      <w:pPr>
        <w:pStyle w:val="ListBullet"/>
      </w:pPr>
      <w:r>
        <w:t>Ten-year perspective shows U-shaped pattern with sustained rally post-2022</w:t>
      </w:r>
    </w:p>
    <w:p>
      <w:pPr>
        <w:pStyle w:val="ListBullet"/>
      </w:pPr>
      <w:r>
        <w:t>Pullbacks of 15–20% from cyclical peaks consistently find support well above $3,500</w:t>
      </w:r>
    </w:p>
    <w:p>
      <w:pPr>
        <w:pStyle w:val="Heading1"/>
      </w:pPr>
      <w:r>
        <w:t>Structural Drivers Supporting Gold Prices</w:t>
      </w:r>
    </w:p>
    <w:p>
      <w:pPr>
        <w:spacing w:after="120"/>
      </w:pPr>
      <w:r>
        <w:t>Geopolitical tensions have become the dominant structural driver of gold prices since 2022, creating persistent safe-haven demand independent of traditional macroeconomic cycles. Each major flashpoint—Israel-Iran tensions, Houthi Red Sea attacks, U.S.-China competition over Taiwan, and the unresolved Russia-Ukraine conflict—pushes investors toward gold as a borderless asset with no counterparty default risk. Critically, central banks have reinforced this trend through aggressive accumulation: emerging market and non-Western central banks have purchased over 1,000 tonnes annually since 2022, driven explicitly by de-dollarization fears following the freezing of Russian reserves. This institutional demand creates a structural floor under prices that distinguishes the current bull market from prior rallies.</w:t>
      </w:r>
    </w:p>
    <w:p>
      <w:pPr>
        <w:pStyle w:val="ListBullet"/>
      </w:pPr>
      <w:r>
        <w:t>Central bank accumulation of 1,000+ tonnes annually creates structural demand independent of retail sentiment</w:t>
      </w:r>
    </w:p>
    <w:p>
      <w:pPr>
        <w:pStyle w:val="ListBullet"/>
      </w:pPr>
      <w:r>
        <w:t>De-dollarization trend driven by sanctions concerns reduces reliance on U.S. Treasury reserves</w:t>
      </w:r>
    </w:p>
    <w:p>
      <w:pPr>
        <w:pStyle w:val="ListBullet"/>
      </w:pPr>
      <w:r>
        <w:t>Key accumulators include People's Bank of China, Reserve Bank of India, and Turkey's central bank</w:t>
      </w:r>
    </w:p>
    <w:p>
      <w:pPr>
        <w:pStyle w:val="ListBullet"/>
      </w:pPr>
      <w:r>
        <w:t>Each 100-point rise in geopolitical risk index adds 2–3 percentage points to gold returns</w:t>
      </w:r>
    </w:p>
    <w:p>
      <w:pPr>
        <w:pStyle w:val="ListBullet"/>
      </w:pPr>
      <w:r>
        <w:t>Real yields remaining modestly positive (3–4% Treasury yields with moderate inflation) do not punish gold severely</w:t>
      </w:r>
    </w:p>
    <w:p>
      <w:pPr>
        <w:pStyle w:val="Heading1"/>
      </w:pPr>
      <w:r>
        <w:t>Comparative Returns and Portfolio Fit</w:t>
      </w:r>
    </w:p>
    <w:p>
      <w:pPr>
        <w:spacing w:after="120"/>
      </w:pPr>
      <w:r>
        <w:t>Over the past five years (2020–2025), gold has emerged as the clear outperformer among traditional asset classes, delivering 18.4% annualized returns compared to global equities at 12.5%, corporate bonds at 1.3%, and sovereign bonds declining at −1.1% annually. This exceptional performance masks an important structural insight: gold's volatility of 15.4% is comparable to equities (16.8%) but with demonstrably better downside protection. During equity market declines, gold typically exhibits negative or near-zero correlation, providing genuine diversification rather than mere return chasing. Notably, bonds—traditionally viewed as stable—suffered severe losses from rising interest rates, exposing the inadequacy of conventional fixed-income allocations during inflationary periods.</w:t>
      </w:r>
    </w:p>
    <w:p>
      <w:pPr>
        <w:pStyle w:val="ListBullet"/>
      </w:pPr>
      <w:r>
        <w:t>Gold volatility (15.4%) equals equities (16.8%) while delivering superior returns over five years</w:t>
      </w:r>
    </w:p>
    <w:p>
      <w:pPr>
        <w:pStyle w:val="ListBullet"/>
      </w:pPr>
      <w:r>
        <w:t>Negative equity correlation during market stress provides meaningful portfolio protection</w:t>
      </w:r>
    </w:p>
    <w:p>
      <w:pPr>
        <w:pStyle w:val="ListBullet"/>
      </w:pPr>
      <w:r>
        <w:t>Bonds underperformed at −1.1% annualized, destroying real value during inflation surge</w:t>
      </w:r>
    </w:p>
    <w:p>
      <w:pPr>
        <w:pStyle w:val="ListBullet"/>
      </w:pPr>
      <w:r>
        <w:t>Gold's allocation of 3–5% materially reduces portfolio drawdowns without sacrificing long-term returns</w:t>
      </w:r>
    </w:p>
    <w:p>
      <w:pPr>
        <w:pStyle w:val="ListBullet"/>
      </w:pPr>
      <w:r>
        <w:t>Over 35 years, equities maintain slight edge (8.1% versus gold's 6.7%), but cyclicality matters for wealth preservation</w:t>
      </w:r>
    </w:p>
    <w:p>
      <w:pPr>
        <w:pStyle w:val="Heading1"/>
      </w:pPr>
      <w:r>
        <w:t>Critical Drawbacks Limiting Gold's Appeal</w:t>
      </w:r>
    </w:p>
    <w:p>
      <w:pPr>
        <w:spacing w:after="120"/>
      </w:pPr>
      <w:r>
        <w:t>Despite recent strong performance, gold carries fundamental limitations that constrain its suitability as a core portfolio holding. Most critically, gold produces zero income whatsoever—it neither pays dividends, interest, nor rental yields. This creates substantial opportunity costs: $10,000 invested in a 5% yielding asset compounds to approximately $19,671 over 10 years, while the same amount in gold without price appreciation remains stagnant at $10,000. Capital tied up in gold bypasses the wealth-building power of compounding that has made equity investing so successful for long-term investors. Additionally, physical gold ownership requires ongoing storage and insurance costs typically ranging from 0.5% to 1.5% annually ($50–$150 per year on a $10,000 position). Over a 10-year holding period, these recurring costs consume 5–10% of holdings, substantially offsetting modest price appreciation.</w:t>
      </w:r>
    </w:p>
    <w:p>
      <w:pPr>
        <w:pStyle w:val="ListBullet"/>
      </w:pPr>
      <w:r>
        <w:t>No yield generation: zero annual returns from dividends or interest, only price appreciation speculation</w:t>
      </w:r>
    </w:p>
    <w:p>
      <w:pPr>
        <w:pStyle w:val="ListBullet"/>
      </w:pPr>
      <w:r>
        <w:t>Storage and insurance costs erode returns: vault fees, insurance premiums, and handling charges total 0.5–1.5% annually</w:t>
      </w:r>
    </w:p>
    <w:p>
      <w:pPr>
        <w:pStyle w:val="ListBullet"/>
      </w:pPr>
      <w:r>
        <w:t>Inflation hedging is inconsistent: gold returned only 3.8% annually after inflation (versus stocks at 8.9% real return)</w:t>
      </w:r>
    </w:p>
    <w:p>
      <w:pPr>
        <w:pStyle w:val="ListBullet"/>
      </w:pPr>
      <w:r>
        <w:t>Timing risk is extreme: gold fell 42% from 2011 to 2015, halved from 1980 to 2001, and dropped 21% from 2013 to 2014</w:t>
      </w:r>
    </w:p>
    <w:p>
      <w:pPr>
        <w:pStyle w:val="ListBullet"/>
      </w:pPr>
      <w:r>
        <w:t>Professional vault storage makes physical holdings economically inefficient for positions under $50,000</w:t>
      </w:r>
    </w:p>
    <w:p>
      <w:pPr>
        <w:pStyle w:val="ListBullet"/>
      </w:pPr>
      <w:r>
        <w:t>Gold ETFs offer superior cost structure (0.17–0.25% annually) but still represent non-yielding capital allocation</w:t>
      </w:r>
    </w:p>
    <w:p>
      <w:pPr>
        <w:pStyle w:val="Heading1"/>
      </w:pPr>
      <w:r>
        <w:t>Investment Vehicle Selection and Cost Optimization</w:t>
      </w:r>
    </w:p>
    <w:p>
      <w:pPr>
        <w:spacing w:after="120"/>
      </w:pPr>
      <w:r>
        <w:t>The practical vehicle selected for gold exposure dramatically impacts net returns and suitability for different investor profiles. Gold Exchange-Traded Funds (ETFs) such as GLD, IAU, and GLDM represent the optimal choice for most investors, charging annual fees under 0.30% while eliminating physical custody logistics entirely. These funds trade like stocks through any brokerage, offer high liquidity, and automatically handle storage through accredited vaults. For positions exceeding $50,000, allocated accounts with professional custodians like Delaware Depository or Brinks become economically viable, offering direct ownership claims to specifically titled bars and segregated storage. Investors must avoid retail physical gold purchases—coins, bars, and jewelry purchased from dealers carry substantial markups above spot price (2–10%) and incur disproportionate storage costs in private safes or bank boxes. Futures contracts on COMEX offer leverage and capital efficiency but demand rigorous cash management and risk discipline unsuitable for most retail investors. Mining stocks and streaming royalty companies provide leverage to gold prices alongside dividend income, though they introduce corporate and geopolitical risks distinct from bullion price exposure.</w:t>
      </w:r>
    </w:p>
    <w:p>
      <w:pPr>
        <w:pStyle w:val="ListBullet"/>
      </w:pPr>
      <w:r>
        <w:t>Gold ETFs (GLD, IAU) optimal for positions under $50,000: charge 0.17–0.25% annually with full liquidity</w:t>
      </w:r>
    </w:p>
    <w:p>
      <w:pPr>
        <w:pStyle w:val="ListBullet"/>
      </w:pPr>
      <w:r>
        <w:t>Allocated vault accounts economically viable for positions exceeding $50,000: segregated storage with 0.10–0.50% annual fees</w:t>
      </w:r>
    </w:p>
    <w:p>
      <w:pPr>
        <w:pStyle w:val="ListBullet"/>
      </w:pPr>
      <w:r>
        <w:t>Avoid retail physical gold: dealer markups of 2–10% above spot price plus storage costs create negative carry</w:t>
      </w:r>
    </w:p>
    <w:p>
      <w:pPr>
        <w:pStyle w:val="ListBullet"/>
      </w:pPr>
      <w:r>
        <w:t>Gold mining ETFs (GDX) offer leverage and dividends but introduce corporate and geopolitical risks</w:t>
      </w:r>
    </w:p>
    <w:p>
      <w:pPr>
        <w:pStyle w:val="ListBullet"/>
      </w:pPr>
      <w:r>
        <w:t>Futures contracts provide leverage but require expertise in cash management unsuitable for buy-and-hold investors</w:t>
      </w:r>
    </w:p>
    <w:p>
      <w:pPr>
        <w:pStyle w:val="ListBullet"/>
      </w:pPr>
      <w:r>
        <w:t>Unallocated pools cheaper than allocated storage but introduce counterparty risk without specific bars assigned</w:t>
      </w:r>
    </w:p>
    <w:p>
      <w:pPr>
        <w:pStyle w:val="Heading1"/>
      </w:pPr>
      <w:r>
        <w:t>Allocation Framework and Investor Suitability Assessment</w:t>
      </w:r>
    </w:p>
    <w:p>
      <w:pPr>
        <w:spacing w:after="120"/>
      </w:pPr>
      <w:r>
        <w:t>Gold allocation appropriateness depends critically on individual risk tolerance, time horizon, and existing portfolio composition rather than absolute return expectations. Conservative investors (risk tolerance below 4 on a 10-point scale) should allocate 5–7% to gold via ETFs, using it as a core defensive position complementing high-quality bonds and dividend-paying stocks. Moderate investors (risk tolerance 5–6) should consider 3–5% allocation, structured through low-cost ETFs or modest physical holdings, providing meaningful diversification without concentrated bets. Aggressive investors (risk tolerance 7+) may hold 1–2% gold or none whatsoever, as their portfolios already contain sufficient diversifiers and the opportunity cost of capital is highest. Time horizon is equally critical: investors with 20+ year horizons can tolerate gold's lack of yield and occasional multi-year underperformance, viewing it as insurance. Investors with 3–5 year horizons should avoid gold unless they have specific geopolitical concerns, as sentiment shifts and interest rate changes create near-term volatility. Current market conditions in March 2026—moderate 3.5–3.75% federal funds rates, elevated geopolitical tensions, and structural central bank demand—create a favorable backdrop for disciplined 3–5% allocations in balanced portfolios without justifying concentrations.</w:t>
      </w:r>
    </w:p>
    <w:p>
      <w:pPr>
        <w:pStyle w:val="ListBullet"/>
      </w:pPr>
      <w:r>
        <w:t>Conservative investors: 5–7% gold allocation as core defensive position complementing bonds</w:t>
      </w:r>
    </w:p>
    <w:p>
      <w:pPr>
        <w:pStyle w:val="ListBullet"/>
      </w:pPr>
      <w:r>
        <w:t>Moderate investors: 3–5% allocation via gold ETFs for meaningful diversification without concentration</w:t>
      </w:r>
    </w:p>
    <w:p>
      <w:pPr>
        <w:pStyle w:val="ListBullet"/>
      </w:pPr>
      <w:r>
        <w:t>Aggressive investors: 1–2% or zero allocation given sufficient existing diversifiers and high opportunity cost</w:t>
      </w:r>
    </w:p>
    <w:p>
      <w:pPr>
        <w:pStyle w:val="ListBullet"/>
      </w:pPr>
      <w:r>
        <w:t>20+ year time horizon: supports gold holding despite lack of yield and occasional underperformance</w:t>
      </w:r>
    </w:p>
    <w:p>
      <w:pPr>
        <w:pStyle w:val="ListBullet"/>
      </w:pPr>
      <w:r>
        <w:t>3–5 year time horizon: avoid gold unless addressing specific geopolitical concerns; interest rate sensitivity creates volatility risk</w:t>
      </w:r>
    </w:p>
    <w:p>
      <w:pPr>
        <w:pStyle w:val="ListBullet"/>
      </w:pPr>
      <w:r>
        <w:t>Current moderate interest rates (3.5–3.75%) do not punish non-yielding assets as severely as 2023–2024 rates</w:t>
      </w:r>
    </w:p>
    <w:p>
      <w:pPr>
        <w:pStyle w:val="ListBullet"/>
      </w:pPr>
      <w:r>
        <w:t>Tax efficiency argument: hold gold in tax-deferred IRAs (28% collectibles rate versus 15–20% for equities in taxable accounts)</w:t>
      </w:r>
    </w:p>
    <w:p>
      <w:pPr>
        <w:pStyle w:val="Heading1"/>
      </w:pPr>
      <w:r>
        <w:t>Conclusion</w:t>
      </w:r>
    </w:p>
    <w:p>
      <w:r>
        <w:t>Gold merits 3–5% allocation for most balanced investors in March 2026, driven by elevated geopolitical risk, moderate interest rates that no longer punish non-yielding assets severely, and structural central bank de-dollarization demand creating durable price support. However, this allocation should be disciplined and vehicle-conscious: use low-cost ETFs (0.17–0.25% annually) for positions under $50,000 rather than physical gold, and structure sizing around portfolio composition and risk tolerance rather than return expectations. Gold works as crisis insurance and a negative-equity-correlation diversifier rather than a core wealth-building asset, given its complete lack of yield and inconsistent inflation hedging. Investors should acknowledge its asymmetric payoff profile—exceptional performance during geopolitical stress but frequent underperformance during stable periods—and avoid overallocation based on recent 25.5% annual returns. Current market conditions support modest gold holdings but not concentrated bets; the moderate interest rate environment and persistent security concerns create genuine opportunity, though neither factor overwhelmingly demands aggressive positioning.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