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A57" w:rsidRPr="00533A57" w:rsidRDefault="00533A57" w:rsidP="00533A57">
      <w:pPr>
        <w:pStyle w:val="NormaleWeb"/>
        <w:spacing w:before="0" w:beforeAutospacing="0" w:after="0" w:afterAutospacing="0"/>
        <w:jc w:val="center"/>
        <w:rPr>
          <w:rStyle w:val="Enfasigrassetto"/>
          <w:rFonts w:ascii="Segoe UI" w:hAnsi="Segoe UI" w:cs="Segoe UI"/>
          <w:bdr w:val="single" w:sz="2" w:space="0" w:color="auto" w:frame="1"/>
        </w:rPr>
      </w:pPr>
      <w:r w:rsidRPr="00533A57">
        <w:rPr>
          <w:rStyle w:val="Enfasigrassetto"/>
          <w:rFonts w:ascii="Segoe UI" w:hAnsi="Segoe UI" w:cs="Segoe UI"/>
          <w:bdr w:val="single" w:sz="2" w:space="0" w:color="auto" w:frame="1"/>
        </w:rPr>
        <w:t>REPORT ANALITICO: "PRINCIPI DI ECONOMIA" - ACEMOGLU (PEARSON)</w:t>
      </w:r>
    </w:p>
    <w:p w:rsidR="00533A57" w:rsidRPr="00533A57" w:rsidRDefault="00533A57" w:rsidP="00533A57">
      <w:pPr>
        <w:pStyle w:val="NormaleWeb"/>
        <w:spacing w:before="0" w:beforeAutospacing="0" w:after="0" w:afterAutospacing="0"/>
        <w:jc w:val="both"/>
        <w:rPr>
          <w:rFonts w:ascii="Segoe UI" w:hAnsi="Segoe UI" w:cs="Segoe UI"/>
          <w:sz w:val="20"/>
          <w:szCs w:val="20"/>
        </w:rPr>
      </w:pP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Inquadramento Generale dell'Opera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Il manuale di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rappresenta un approccio decisamente innovativo nell'insegnamento dell'economia politica, caratterizzato da una filosofia pedagogica che privilegia il metodo scientifico e l'analisi empirica rispetto alla tradizionale esposizione teorica. La struttura dell'opera rivela immediatamente questa impostazione metodologica: i primi tre capitoli sono dedicati esclusivamente ai fondamenti epistemologici e metodologici della disciplina, con particolare enfasi sull'ottimizzazione come principio unificante dell'analisi economica.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L'architettura del testo si distingue per la sua ampiezza tematica e per l'integrazione sistematica di argomenti spesso trascurati nei manuali tradizionali. La presenza di capitoli dedicati a teoria dei giochi, economia dell'informazione, aste e contrattazioni, e economia sociale indica un approccio che abbraccia le frontiere più avanzate della ricerca economica contemporanea, rendendole accessibili agli studenti di livello introduttivo.</w:t>
      </w:r>
    </w:p>
    <w:p w:rsid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La progressione dai principi metodologici ai mercati specifici, dalle strutture di mercato alle applicazioni internazionali, e infine alla macroeconomia, riflette una strategia didattica che costruisce gradualmente la complessità analitica, mantenendo sempre un forte ancoraggio empirico e applicativo.</w:t>
      </w:r>
    </w:p>
    <w:p w:rsidR="00533A57" w:rsidRPr="00533A57" w:rsidRDefault="00533A57" w:rsidP="00533A57">
      <w:pPr>
        <w:pStyle w:val="NormaleWeb"/>
        <w:spacing w:before="0" w:beforeAutospacing="0" w:after="0" w:afterAutospacing="0"/>
        <w:jc w:val="both"/>
        <w:rPr>
          <w:rFonts w:ascii="Segoe UI" w:hAnsi="Segoe UI" w:cs="Segoe UI"/>
          <w:sz w:val="20"/>
          <w:szCs w:val="20"/>
        </w:rPr>
      </w:pP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Scuole di Pensiero Economiche di Riferimento</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L'approccio di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è profondamente radicato nella tradizione neoclassica moderna, ma con significative aperture verso le scuole di pensiero più innovative. Il capitolo 3 sull'ottimizzazione stabilisce chiaramente il paradigma della scelta razionale come fondamento dell'analisi, seguendo la tradizione che va da </w:t>
      </w:r>
      <w:proofErr w:type="spellStart"/>
      <w:r w:rsidRPr="00533A57">
        <w:rPr>
          <w:rFonts w:ascii="Segoe UI" w:hAnsi="Segoe UI" w:cs="Segoe UI"/>
          <w:sz w:val="20"/>
          <w:szCs w:val="20"/>
        </w:rPr>
        <w:t>Samuelson</w:t>
      </w:r>
      <w:proofErr w:type="spellEnd"/>
      <w:r w:rsidRPr="00533A57">
        <w:rPr>
          <w:rFonts w:ascii="Segoe UI" w:hAnsi="Segoe UI" w:cs="Segoe UI"/>
          <w:sz w:val="20"/>
          <w:szCs w:val="20"/>
        </w:rPr>
        <w:t xml:space="preserve"> alla moderna teoria microeconomica.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Tuttavia, l'inclusione della teoria dei giochi (capitolo 13) e dell'economia dell'informazione (capitolo 16) indica un forte orientamento verso la "nuova economia industriale" e l'economia dell'informazione sviluppata da autori come </w:t>
      </w:r>
      <w:proofErr w:type="spellStart"/>
      <w:r w:rsidRPr="00533A57">
        <w:rPr>
          <w:rFonts w:ascii="Segoe UI" w:hAnsi="Segoe UI" w:cs="Segoe UI"/>
          <w:sz w:val="20"/>
          <w:szCs w:val="20"/>
        </w:rPr>
        <w:t>Tirole</w:t>
      </w:r>
      <w:proofErr w:type="spellEnd"/>
      <w:r w:rsidRPr="00533A57">
        <w:rPr>
          <w:rFonts w:ascii="Segoe UI" w:hAnsi="Segoe UI" w:cs="Segoe UI"/>
          <w:sz w:val="20"/>
          <w:szCs w:val="20"/>
        </w:rPr>
        <w:t xml:space="preserve">, </w:t>
      </w:r>
      <w:proofErr w:type="spellStart"/>
      <w:r w:rsidRPr="00533A57">
        <w:rPr>
          <w:rFonts w:ascii="Segoe UI" w:hAnsi="Segoe UI" w:cs="Segoe UI"/>
          <w:sz w:val="20"/>
          <w:szCs w:val="20"/>
        </w:rPr>
        <w:t>Milgrom</w:t>
      </w:r>
      <w:proofErr w:type="spellEnd"/>
      <w:r w:rsidRPr="00533A57">
        <w:rPr>
          <w:rFonts w:ascii="Segoe UI" w:hAnsi="Segoe UI" w:cs="Segoe UI"/>
          <w:sz w:val="20"/>
          <w:szCs w:val="20"/>
        </w:rPr>
        <w:t xml:space="preserve"> e Roberts. La presenza dell'economia sociale (capitolo 18) suggerisce un'apertura verso l'economia comportamentale e sperimentale, incorporando </w:t>
      </w:r>
      <w:proofErr w:type="spellStart"/>
      <w:r w:rsidRPr="00533A57">
        <w:rPr>
          <w:rFonts w:ascii="Segoe UI" w:hAnsi="Segoe UI" w:cs="Segoe UI"/>
          <w:sz w:val="20"/>
          <w:szCs w:val="20"/>
        </w:rPr>
        <w:t>insights</w:t>
      </w:r>
      <w:proofErr w:type="spellEnd"/>
      <w:r w:rsidRPr="00533A57">
        <w:rPr>
          <w:rFonts w:ascii="Segoe UI" w:hAnsi="Segoe UI" w:cs="Segoe UI"/>
          <w:sz w:val="20"/>
          <w:szCs w:val="20"/>
        </w:rPr>
        <w:t xml:space="preserve"> da </w:t>
      </w:r>
      <w:proofErr w:type="spellStart"/>
      <w:r w:rsidRPr="00533A57">
        <w:rPr>
          <w:rFonts w:ascii="Segoe UI" w:hAnsi="Segoe UI" w:cs="Segoe UI"/>
          <w:sz w:val="20"/>
          <w:szCs w:val="20"/>
        </w:rPr>
        <w:t>Kahneman</w:t>
      </w:r>
      <w:proofErr w:type="spellEnd"/>
      <w:r w:rsidRPr="00533A57">
        <w:rPr>
          <w:rFonts w:ascii="Segoe UI" w:hAnsi="Segoe UI" w:cs="Segoe UI"/>
          <w:sz w:val="20"/>
          <w:szCs w:val="20"/>
        </w:rPr>
        <w:t xml:space="preserve">, </w:t>
      </w:r>
      <w:proofErr w:type="spellStart"/>
      <w:r w:rsidRPr="00533A57">
        <w:rPr>
          <w:rFonts w:ascii="Segoe UI" w:hAnsi="Segoe UI" w:cs="Segoe UI"/>
          <w:sz w:val="20"/>
          <w:szCs w:val="20"/>
        </w:rPr>
        <w:t>Tversky</w:t>
      </w:r>
      <w:proofErr w:type="spellEnd"/>
      <w:r w:rsidRPr="00533A57">
        <w:rPr>
          <w:rFonts w:ascii="Segoe UI" w:hAnsi="Segoe UI" w:cs="Segoe UI"/>
          <w:sz w:val="20"/>
          <w:szCs w:val="20"/>
        </w:rPr>
        <w:t xml:space="preserve"> e la scuola comportamentale.</w:t>
      </w:r>
    </w:p>
    <w:p w:rsid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Sul fronte macroeconomico, la struttura dei capitoli finali indica un approccio che integra elementi della sintesi neoclassica con modelli di crescita endogena e teorie dello sviluppo istituzionale. Il capitolo 22 "Perché non tutto il mondo si è sviluppato?" riflette chiaramente l'influenza della scuola istituzionalista moderna, probabilmente incorporando i contributi dello stesso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sulla relazione tra istituzioni e sviluppo economico.</w:t>
      </w:r>
    </w:p>
    <w:p w:rsidR="00533A57" w:rsidRPr="00533A57" w:rsidRDefault="00533A57" w:rsidP="00533A57">
      <w:pPr>
        <w:pStyle w:val="NormaleWeb"/>
        <w:spacing w:before="0" w:beforeAutospacing="0" w:after="0" w:afterAutospacing="0"/>
        <w:jc w:val="both"/>
        <w:rPr>
          <w:rFonts w:ascii="Segoe UI" w:hAnsi="Segoe UI" w:cs="Segoe UI"/>
          <w:sz w:val="20"/>
          <w:szCs w:val="20"/>
        </w:rPr>
      </w:pP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Modelli Economici Micro e Macroeconomici</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La struttura microeconomica del testo presenta una progressione sofisticata che va oltre i modelli standard. Il capitolo 3 introduce il </w:t>
      </w:r>
      <w:proofErr w:type="spellStart"/>
      <w:r w:rsidRPr="00533A57">
        <w:rPr>
          <w:rFonts w:ascii="Segoe UI" w:hAnsi="Segoe UI" w:cs="Segoe UI"/>
          <w:sz w:val="20"/>
          <w:szCs w:val="20"/>
        </w:rPr>
        <w:t>framework</w:t>
      </w:r>
      <w:proofErr w:type="spellEnd"/>
      <w:r w:rsidRPr="00533A57">
        <w:rPr>
          <w:rFonts w:ascii="Segoe UI" w:hAnsi="Segoe UI" w:cs="Segoe UI"/>
          <w:sz w:val="20"/>
          <w:szCs w:val="20"/>
        </w:rPr>
        <w:t xml:space="preserve"> dell'ottimizzazione vincolata come strumento unificante, che viene poi applicato sistematicamente ai comportamenti di consumatori (capitolo 5) e imprese (capitolo 6). Questa impostazione permette di trattare in modo coerente sia le scelte discrete che continue, fornendo agli studenti un </w:t>
      </w:r>
      <w:proofErr w:type="spellStart"/>
      <w:r w:rsidRPr="00533A57">
        <w:rPr>
          <w:rFonts w:ascii="Segoe UI" w:hAnsi="Segoe UI" w:cs="Segoe UI"/>
          <w:sz w:val="20"/>
          <w:szCs w:val="20"/>
        </w:rPr>
        <w:t>toolkit</w:t>
      </w:r>
      <w:proofErr w:type="spellEnd"/>
      <w:r w:rsidRPr="00533A57">
        <w:rPr>
          <w:rFonts w:ascii="Segoe UI" w:hAnsi="Segoe UI" w:cs="Segoe UI"/>
          <w:sz w:val="20"/>
          <w:szCs w:val="20"/>
        </w:rPr>
        <w:t xml:space="preserve"> analitico più potente rispetto ai tradizionali approcci grafici.</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I modelli di mercato seguono una progressione completa: dalla concorrenza perfetta (capitolo 7) al monopolio (capitolo 12), passando attraverso oligopolio e concorrenza monopolistica (capitolo 14). L'innovazione principale risiede nell'integrazione sistematica della teoria dei giochi (capitolo 13) come strumento per analizzare le interazioni strategiche, rendendo l'analisi dei mercati oligopolistici più rigorosa e realistica.</w:t>
      </w:r>
    </w:p>
    <w:p w:rsid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La sezione macroeconomica rivela un approccio moderno che integra modelli di crescita (capitolo 21) con analisi delle fluttuazioni cicliche (capitoli 26-27). La presenza di capitoli specifici sul mercato del credito (capitolo 24) e sul sistema monetario (capitolo 25) indica l'utilizzo di modelli DSGE (</w:t>
      </w:r>
      <w:proofErr w:type="spellStart"/>
      <w:r w:rsidRPr="00533A57">
        <w:rPr>
          <w:rFonts w:ascii="Segoe UI" w:hAnsi="Segoe UI" w:cs="Segoe UI"/>
          <w:sz w:val="20"/>
          <w:szCs w:val="20"/>
        </w:rPr>
        <w:t>Dynamic</w:t>
      </w:r>
      <w:proofErr w:type="spellEnd"/>
      <w:r w:rsidRPr="00533A57">
        <w:rPr>
          <w:rFonts w:ascii="Segoe UI" w:hAnsi="Segoe UI" w:cs="Segoe UI"/>
          <w:sz w:val="20"/>
          <w:szCs w:val="20"/>
        </w:rPr>
        <w:t xml:space="preserve"> </w:t>
      </w:r>
      <w:proofErr w:type="spellStart"/>
      <w:r w:rsidRPr="00533A57">
        <w:rPr>
          <w:rFonts w:ascii="Segoe UI" w:hAnsi="Segoe UI" w:cs="Segoe UI"/>
          <w:sz w:val="20"/>
          <w:szCs w:val="20"/>
        </w:rPr>
        <w:t>Stochastic</w:t>
      </w:r>
      <w:proofErr w:type="spellEnd"/>
      <w:r w:rsidRPr="00533A57">
        <w:rPr>
          <w:rFonts w:ascii="Segoe UI" w:hAnsi="Segoe UI" w:cs="Segoe UI"/>
          <w:sz w:val="20"/>
          <w:szCs w:val="20"/>
        </w:rPr>
        <w:t xml:space="preserve"> General Equilibrium) o loro versioni semplificate, che costituiscono il </w:t>
      </w:r>
      <w:proofErr w:type="spellStart"/>
      <w:r w:rsidRPr="00533A57">
        <w:rPr>
          <w:rFonts w:ascii="Segoe UI" w:hAnsi="Segoe UI" w:cs="Segoe UI"/>
          <w:sz w:val="20"/>
          <w:szCs w:val="20"/>
        </w:rPr>
        <w:t>mainstream</w:t>
      </w:r>
      <w:proofErr w:type="spellEnd"/>
      <w:r w:rsidRPr="00533A57">
        <w:rPr>
          <w:rFonts w:ascii="Segoe UI" w:hAnsi="Segoe UI" w:cs="Segoe UI"/>
          <w:sz w:val="20"/>
          <w:szCs w:val="20"/>
        </w:rPr>
        <w:t xml:space="preserve"> della macroeconomia contemporanea.</w:t>
      </w:r>
    </w:p>
    <w:p w:rsidR="00533A57" w:rsidRPr="00533A57" w:rsidRDefault="00533A57" w:rsidP="00533A57">
      <w:pPr>
        <w:pStyle w:val="NormaleWeb"/>
        <w:spacing w:before="0" w:beforeAutospacing="0" w:after="0" w:afterAutospacing="0"/>
        <w:jc w:val="both"/>
        <w:rPr>
          <w:rFonts w:ascii="Segoe UI" w:hAnsi="Segoe UI" w:cs="Segoe UI"/>
          <w:sz w:val="20"/>
          <w:szCs w:val="20"/>
        </w:rPr>
      </w:pP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Modelli di Crescita Economica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La trattazione della crescita economica appare particolarmente approfondita e moderna. Il capitolo 21 è specificamente dedicato alla crescita economica, mentre il capitolo 22 affronta le determinanti dello sviluppo </w:t>
      </w:r>
      <w:r w:rsidRPr="00533A57">
        <w:rPr>
          <w:rFonts w:ascii="Segoe UI" w:hAnsi="Segoe UI" w:cs="Segoe UI"/>
          <w:sz w:val="20"/>
          <w:szCs w:val="20"/>
        </w:rPr>
        <w:lastRenderedPageBreak/>
        <w:t>comparato. Questa struttura suggerisce un approccio che integra i modelli di crescita neoclassici (</w:t>
      </w:r>
      <w:proofErr w:type="spellStart"/>
      <w:r w:rsidRPr="00533A57">
        <w:rPr>
          <w:rFonts w:ascii="Segoe UI" w:hAnsi="Segoe UI" w:cs="Segoe UI"/>
          <w:sz w:val="20"/>
          <w:szCs w:val="20"/>
        </w:rPr>
        <w:t>Solow</w:t>
      </w:r>
      <w:proofErr w:type="spellEnd"/>
      <w:r w:rsidRPr="00533A57">
        <w:rPr>
          <w:rFonts w:ascii="Segoe UI" w:hAnsi="Segoe UI" w:cs="Segoe UI"/>
          <w:sz w:val="20"/>
          <w:szCs w:val="20"/>
        </w:rPr>
        <w:t>) con le teorie della crescita endogena (</w:t>
      </w:r>
      <w:proofErr w:type="spellStart"/>
      <w:r w:rsidRPr="00533A57">
        <w:rPr>
          <w:rFonts w:ascii="Segoe UI" w:hAnsi="Segoe UI" w:cs="Segoe UI"/>
          <w:sz w:val="20"/>
          <w:szCs w:val="20"/>
        </w:rPr>
        <w:t>Romer</w:t>
      </w:r>
      <w:proofErr w:type="spellEnd"/>
      <w:r w:rsidRPr="00533A57">
        <w:rPr>
          <w:rFonts w:ascii="Segoe UI" w:hAnsi="Segoe UI" w:cs="Segoe UI"/>
          <w:sz w:val="20"/>
          <w:szCs w:val="20"/>
        </w:rPr>
        <w:t>, Lucas) e i modelli istituzionali.</w:t>
      </w:r>
    </w:p>
    <w:p w:rsid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La collocazione del capitolo sulla crescita prima dell'analisi delle fluttuazioni cicliche indica una priorità concettuale data ai fenomeni di lungo periodo, coerentemente con l'approccio di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che vede nelle istituzioni e nella tecnologia i driver fondamentali dello sviluppo economico. Il capitolo 22, con la sua domanda provocatoria "Perché non tutto il mondo si è sviluppato?", probabilmente incorpora i modelli di crescita con soglie critiche, trappole della povertà e il ruolo delle istituzioni estrattive versus inclusive.</w:t>
      </w:r>
    </w:p>
    <w:p w:rsidR="00533A57" w:rsidRPr="00533A57" w:rsidRDefault="00533A57" w:rsidP="00533A57">
      <w:pPr>
        <w:pStyle w:val="NormaleWeb"/>
        <w:spacing w:before="0" w:beforeAutospacing="0" w:after="0" w:afterAutospacing="0"/>
        <w:jc w:val="both"/>
        <w:rPr>
          <w:rFonts w:ascii="Segoe UI" w:hAnsi="Segoe UI" w:cs="Segoe UI"/>
          <w:sz w:val="20"/>
          <w:szCs w:val="20"/>
        </w:rPr>
      </w:pP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Trattazione Temporale: Breve e Lungo Periodo</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L'approccio temporale di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è particolarmente sofisticato e si distingue dai manuali tradizionali. Il capitolo 15 "</w:t>
      </w:r>
      <w:proofErr w:type="spellStart"/>
      <w:r w:rsidRPr="00533A57">
        <w:rPr>
          <w:rFonts w:ascii="Segoe UI" w:hAnsi="Segoe UI" w:cs="Segoe UI"/>
          <w:sz w:val="20"/>
          <w:szCs w:val="20"/>
        </w:rPr>
        <w:t>Trade</w:t>
      </w:r>
      <w:proofErr w:type="spellEnd"/>
      <w:r w:rsidRPr="00533A57">
        <w:rPr>
          <w:rFonts w:ascii="Segoe UI" w:hAnsi="Segoe UI" w:cs="Segoe UI"/>
          <w:sz w:val="20"/>
          <w:szCs w:val="20"/>
        </w:rPr>
        <w:t>-off che coinvolgono tempo e rischio" introduce esplicitamente la dimensione temporale dell'analisi economica a livello microeconomico, probabilmente attraverso modelli di scelta intertemporale e teoria del portafoglio.</w:t>
      </w:r>
    </w:p>
    <w:p w:rsid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A livello macroeconomico, la sequenza è innovativa: si parte dalla misurazione degli aggregati (capitoli 19-20), si procede con la crescita di lungo periodo (capitoli 21-22), poi si analizza il mercato del lavoro e quello del credito (capitoli 23-24), e infine si affrontano le fluttuazioni di breve periodo (capitoli 26-27). Questa progressione dal lungo al breve periodo riflette una filosofia che vede la crescita come il fenomeno economico fondamentale, con le fluttuazioni cicliche come deviazioni temporanee dal trend di lungo periodo.</w:t>
      </w:r>
    </w:p>
    <w:p w:rsidR="00533A57" w:rsidRPr="00533A57" w:rsidRDefault="00533A57" w:rsidP="00533A57">
      <w:pPr>
        <w:pStyle w:val="NormaleWeb"/>
        <w:spacing w:before="0" w:beforeAutospacing="0" w:after="0" w:afterAutospacing="0"/>
        <w:jc w:val="both"/>
        <w:rPr>
          <w:rFonts w:ascii="Segoe UI" w:hAnsi="Segoe UI" w:cs="Segoe UI"/>
          <w:sz w:val="20"/>
          <w:szCs w:val="20"/>
        </w:rPr>
      </w:pPr>
      <w:bookmarkStart w:id="0" w:name="_GoBack"/>
      <w:bookmarkEnd w:id="0"/>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Style w:val="Enfasigrassetto"/>
          <w:rFonts w:ascii="Segoe UI" w:hAnsi="Segoe UI" w:cs="Segoe UI"/>
          <w:sz w:val="20"/>
          <w:szCs w:val="20"/>
          <w:bdr w:val="single" w:sz="2" w:space="0" w:color="auto" w:frame="1"/>
        </w:rPr>
        <w:t>Argomenti Non Standard e Innovazioni Didattiche</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 xml:space="preserve">Il manuale di </w:t>
      </w:r>
      <w:proofErr w:type="spellStart"/>
      <w:r w:rsidRPr="00533A57">
        <w:rPr>
          <w:rFonts w:ascii="Segoe UI" w:hAnsi="Segoe UI" w:cs="Segoe UI"/>
          <w:sz w:val="20"/>
          <w:szCs w:val="20"/>
        </w:rPr>
        <w:t>Acemoglu</w:t>
      </w:r>
      <w:proofErr w:type="spellEnd"/>
      <w:r w:rsidRPr="00533A57">
        <w:rPr>
          <w:rFonts w:ascii="Segoe UI" w:hAnsi="Segoe UI" w:cs="Segoe UI"/>
          <w:sz w:val="20"/>
          <w:szCs w:val="20"/>
        </w:rPr>
        <w:t xml:space="preserve"> presenta numerose innovazioni che lo rendono unico nel panorama dei testi introduttivi. Il capitolo 2 sui "Metodi e questioni economiche" introduce probabilmente elementi di econometria e analisi empirica, fornendo agli studenti gli strumenti per valutare criticamente la ricerca economica.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Il capitolo 8 sul commercio internazionale, collocato nella sezione microeconomica, rappresenta un'innovazione significativa che permette di applicare immediatamente i concetti di vantaggio comparativo e specializzazione ai modelli di mercato appena appresi.</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I capitoli 13-17 costituiscono un blocco particolarmente innovativo: teoria dei giochi, economia dell'informazione, aste e contrattazioni sono argomenti tipicamente riservati a corsi avanzati, qui resi accessibili a studenti principianti. Questo approccio riflette la convinzione che gli studenti moderni debbano essere esposti fin dall'inizio agli strumenti analitici più potenti della disciplina.</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Il capitolo 18 sull'economia sociale è probabilmente unico tra i manuali introduttivi, incorporando elementi di economia sperimentale, psicologia economica e teoria dell'equità. Questo riflette l'influenza crescente dell'economia comportamentale e l'interesse per le dimensioni sociali e psicologiche del comportamento economico.</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La sezione macroeconomica presenta diverse innovazioni: il capitolo 22 sullo sviluppo comparato incorpora probabilmente analisi cross-country e evidenze empiriche sui determinanti della crescita. Il capitolo 28 sulla macroeconomia del commercio internazionale e il capitolo 29 sulla macroeconomia in economia aperta riflettono l'importanza crescente della globalizzazione e dell'integrazione economica internazionale.</w:t>
      </w:r>
    </w:p>
    <w:p w:rsidR="00533A57" w:rsidRPr="00533A57" w:rsidRDefault="00533A57" w:rsidP="00533A57">
      <w:pPr>
        <w:pStyle w:val="NormaleWeb"/>
        <w:spacing w:before="0" w:beforeAutospacing="0" w:after="0" w:afterAutospacing="0"/>
        <w:jc w:val="both"/>
        <w:rPr>
          <w:rFonts w:ascii="Segoe UI" w:hAnsi="Segoe UI" w:cs="Segoe UI"/>
          <w:sz w:val="20"/>
          <w:szCs w:val="20"/>
        </w:rPr>
      </w:pPr>
      <w:r w:rsidRPr="00533A57">
        <w:rPr>
          <w:rFonts w:ascii="Segoe UI" w:hAnsi="Segoe UI" w:cs="Segoe UI"/>
          <w:sz w:val="20"/>
          <w:szCs w:val="20"/>
        </w:rPr>
        <w:t>L'approccio metodologico complessivo, con la sua enfasi sull'evidenza empirica e l'applicazione pratica, rappresenta un tentativo di superare la tradizionale dicotomia tra teoria ed evidenza, preparando gli studenti a comprendere come l'economia moderna utilizza dati e metodi quantitativi per testare teorie e informare le politiche pubbliche.</w:t>
      </w:r>
    </w:p>
    <w:p w:rsidR="00D24BFA" w:rsidRPr="00533A57" w:rsidRDefault="00D24BFA" w:rsidP="00533A57">
      <w:pPr>
        <w:spacing w:after="0" w:line="240" w:lineRule="auto"/>
        <w:jc w:val="both"/>
        <w:rPr>
          <w:rFonts w:ascii="Segoe UI" w:hAnsi="Segoe UI" w:cs="Segoe UI"/>
          <w:sz w:val="20"/>
          <w:szCs w:val="20"/>
        </w:rPr>
      </w:pPr>
    </w:p>
    <w:sectPr w:rsidR="00D24BFA" w:rsidRPr="00533A5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A57"/>
    <w:rsid w:val="00533A57"/>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32AC2-CD17-425A-A65F-99D2804D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533A57"/>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533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46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1213</Words>
  <Characters>6920</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2025-09-27T06:47:00Z</dcterms:created>
  <dcterms:modified xsi:type="dcterms:W3CDTF">2025-09-27T06:49:00Z</dcterms:modified>
</cp:coreProperties>
</file>