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45E" w:rsidRPr="004A745E" w:rsidRDefault="004A745E" w:rsidP="004A745E">
      <w:pPr>
        <w:pStyle w:val="NormaleWeb"/>
        <w:spacing w:before="0" w:beforeAutospacing="0" w:after="0" w:afterAutospacing="0"/>
        <w:jc w:val="center"/>
        <w:rPr>
          <w:rStyle w:val="Enfasigrassetto"/>
          <w:rFonts w:ascii="Segoe UI" w:hAnsi="Segoe UI" w:cs="Segoe UI"/>
          <w:bdr w:val="single" w:sz="2" w:space="0" w:color="auto" w:frame="1"/>
        </w:rPr>
      </w:pPr>
      <w:r w:rsidRPr="004A745E">
        <w:rPr>
          <w:rStyle w:val="Enfasigrassetto"/>
          <w:rFonts w:ascii="Segoe UI" w:hAnsi="Segoe UI" w:cs="Segoe UI"/>
          <w:bdr w:val="single" w:sz="2" w:space="0" w:color="auto" w:frame="1"/>
        </w:rPr>
        <w:t>REPORT ANALITICO: "ECONOMIA" - ANTONELLI ET AL. (GIAPPICHELLI)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Style w:val="Enfasigrassetto"/>
          <w:rFonts w:ascii="Segoe UI" w:hAnsi="Segoe UI" w:cs="Segoe UI"/>
          <w:sz w:val="20"/>
          <w:szCs w:val="20"/>
          <w:bdr w:val="single" w:sz="2" w:space="0" w:color="auto" w:frame="1"/>
        </w:rPr>
        <w:t>Inquadramento Generale dell'Opera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>Il manuale di Antonelli rappresenta un approccio sistematico e rigorosamente strutturato all'insegnamento dell'economia politica, caratterizzato da una particolare attenzione alla progressione pedagogica e all'approfondimento metodologico. La struttura bipartita di ogni capitolo ("Per capire" e "Per approfondire") rivela una filosofia didattica innovativa che permette una fruizione differenziata del contenuto in base al livello di preparazione degli studenti e agli obiettivi formativi del corso.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L'architettura complessiva dell'opera segue una logica tradizionale ma ben consolidata: si parte dall'analisi microeconomica (capitoli 1-6) per poi procedere con la macroeconomia (capitoli 7-12). Tuttavia, la presenza di capitoli dedicati specificamente ai fallimenti del mercato (capitolo 4) e all'economia del benessere (capitolo 6) indica un approccio che va oltre la mera esposizione dei modelli standard, incorporando elementi di analisi normativa e di policy </w:t>
      </w:r>
      <w:proofErr w:type="spellStart"/>
      <w:r w:rsidRPr="004A745E">
        <w:rPr>
          <w:rFonts w:ascii="Segoe UI" w:hAnsi="Segoe UI" w:cs="Segoe UI"/>
          <w:sz w:val="20"/>
          <w:szCs w:val="20"/>
        </w:rPr>
        <w:t>analysis</w:t>
      </w:r>
      <w:proofErr w:type="spellEnd"/>
      <w:r w:rsidRPr="004A745E">
        <w:rPr>
          <w:rFonts w:ascii="Segoe UI" w:hAnsi="Segoe UI" w:cs="Segoe UI"/>
          <w:sz w:val="20"/>
          <w:szCs w:val="20"/>
        </w:rPr>
        <w:t>.</w:t>
      </w:r>
    </w:p>
    <w:p w:rsid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La sezione macroeconomica presenta una progressione particolarmente sofisticata che parte dalla contabilità nazionale per arrivare ai modelli di economia aperta, passando attraverso i principali </w:t>
      </w:r>
      <w:proofErr w:type="spellStart"/>
      <w:r w:rsidRPr="004A745E">
        <w:rPr>
          <w:rFonts w:ascii="Segoe UI" w:hAnsi="Segoe UI" w:cs="Segoe UI"/>
          <w:sz w:val="20"/>
          <w:szCs w:val="20"/>
        </w:rPr>
        <w:t>framework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 analitici della macroeconomia moderna. La presenza di un capitolo finale dedicato alle economie aperte riflette l'importanza crescente della globalizzazione economica nell'analisi contemporanea.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Style w:val="Enfasigrassetto"/>
          <w:rFonts w:ascii="Segoe UI" w:hAnsi="Segoe UI" w:cs="Segoe UI"/>
          <w:sz w:val="20"/>
          <w:szCs w:val="20"/>
          <w:bdr w:val="single" w:sz="2" w:space="0" w:color="auto" w:frame="1"/>
        </w:rPr>
        <w:t>Scuole di Pensiero Economiche di Riferimento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L'impostazione teorica del manuale è solidamente ancorata alla tradizione neoclassica, come evidenziato dall'approccio sistematico alla teoria del consumatore (capitolo 1) basato su ottimizzazione vincolata e curve di indifferenza. La sezione dedicata alla teoria dell'impresa (capitolo 2) segue l'approccio </w:t>
      </w:r>
      <w:proofErr w:type="spellStart"/>
      <w:r w:rsidRPr="004A745E">
        <w:rPr>
          <w:rFonts w:ascii="Segoe UI" w:hAnsi="Segoe UI" w:cs="Segoe UI"/>
          <w:sz w:val="20"/>
          <w:szCs w:val="20"/>
        </w:rPr>
        <w:t>marshalliano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 classico, con particolare attenzione alla distinzione temporale breve-lungo periodo.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>Tuttavia, l'opera presenta significative aperture verso approcci più moderni e eterodossi. La sezione di approfondimento del capitolo 2 include contributi della Nuova Economia Istituzionale (</w:t>
      </w:r>
      <w:proofErr w:type="spellStart"/>
      <w:r w:rsidRPr="004A745E">
        <w:rPr>
          <w:rFonts w:ascii="Segoe UI" w:hAnsi="Segoe UI" w:cs="Segoe UI"/>
          <w:sz w:val="20"/>
          <w:szCs w:val="20"/>
        </w:rPr>
        <w:t>Coase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4A745E">
        <w:rPr>
          <w:rFonts w:ascii="Segoe UI" w:hAnsi="Segoe UI" w:cs="Segoe UI"/>
          <w:sz w:val="20"/>
          <w:szCs w:val="20"/>
        </w:rPr>
        <w:t>Williamson</w:t>
      </w:r>
      <w:proofErr w:type="spellEnd"/>
      <w:r w:rsidRPr="004A745E">
        <w:rPr>
          <w:rFonts w:ascii="Segoe UI" w:hAnsi="Segoe UI" w:cs="Segoe UI"/>
          <w:sz w:val="20"/>
          <w:szCs w:val="20"/>
        </w:rPr>
        <w:t>) e della teoria dei contratti incompleti (</w:t>
      </w:r>
      <w:proofErr w:type="spellStart"/>
      <w:r w:rsidRPr="004A745E">
        <w:rPr>
          <w:rFonts w:ascii="Segoe UI" w:hAnsi="Segoe UI" w:cs="Segoe UI"/>
          <w:sz w:val="20"/>
          <w:szCs w:val="20"/>
        </w:rPr>
        <w:t>Grossman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4A745E">
        <w:rPr>
          <w:rFonts w:ascii="Segoe UI" w:hAnsi="Segoe UI" w:cs="Segoe UI"/>
          <w:sz w:val="20"/>
          <w:szCs w:val="20"/>
        </w:rPr>
        <w:t>Hart</w:t>
      </w:r>
      <w:proofErr w:type="spellEnd"/>
      <w:r w:rsidRPr="004A745E">
        <w:rPr>
          <w:rFonts w:ascii="Segoe UI" w:hAnsi="Segoe UI" w:cs="Segoe UI"/>
          <w:sz w:val="20"/>
          <w:szCs w:val="20"/>
        </w:rPr>
        <w:t>, Moore), indicando un'integrazione tra teoria neoclassica e sviluppi più recenti dell'analisi economica.</w:t>
      </w:r>
    </w:p>
    <w:p w:rsid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Sul fronte macroeconomico, l'approccio è decisamente eclettico. Il modello IS-LM (capitolo 9) rappresenta il core keynesiano tradizionale, mentre il modello AD-AS (capitolo 10) incorpora elementi della sintesi neoclassica. Il capitolo 11 presenta esplicitamente il confronto tra Nuova Macroeconomia Classica (Lucas, </w:t>
      </w:r>
      <w:proofErr w:type="spellStart"/>
      <w:r w:rsidRPr="004A745E">
        <w:rPr>
          <w:rFonts w:ascii="Segoe UI" w:hAnsi="Segoe UI" w:cs="Segoe UI"/>
          <w:sz w:val="20"/>
          <w:szCs w:val="20"/>
        </w:rPr>
        <w:t>Sargent</w:t>
      </w:r>
      <w:proofErr w:type="spellEnd"/>
      <w:r w:rsidRPr="004A745E">
        <w:rPr>
          <w:rFonts w:ascii="Segoe UI" w:hAnsi="Segoe UI" w:cs="Segoe UI"/>
          <w:sz w:val="20"/>
          <w:szCs w:val="20"/>
        </w:rPr>
        <w:t>) e Nuova Macroeconomia Keynesiana, offrendo una panoramica equilibrata delle principali scuole di pensiero macroeconomico contemporaneo.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Style w:val="Enfasigrassetto"/>
          <w:rFonts w:ascii="Segoe UI" w:hAnsi="Segoe UI" w:cs="Segoe UI"/>
          <w:sz w:val="20"/>
          <w:szCs w:val="20"/>
          <w:bdr w:val="single" w:sz="2" w:space="0" w:color="auto" w:frame="1"/>
        </w:rPr>
        <w:t>Modelli Economici Micro e Macroeconomici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La struttura microeconomica presenta una progressione completa e rigorosa. Il capitolo 1 sviluppa il modello standard di scelta del consumatore attraverso l'ottimizzazione vincolata, includendo analisi sofisticate come la decomposizione di </w:t>
      </w:r>
      <w:proofErr w:type="spellStart"/>
      <w:r w:rsidRPr="004A745E">
        <w:rPr>
          <w:rFonts w:ascii="Segoe UI" w:hAnsi="Segoe UI" w:cs="Segoe UI"/>
          <w:sz w:val="20"/>
          <w:szCs w:val="20"/>
        </w:rPr>
        <w:t>Hicks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 degli effetti di reddito e sostituzione. La sezione di approfondimento introduce la formalizzazione matematica attraverso funzioni di utilità e condizioni del primo ordine.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>Il capitolo 2 presenta la teoria dell'impresa attraverso funzioni di produzione e strutture di costo, con particolare attenzione alla distinzione temporale. La sezione avanzata introduce l'analisi attraverso isoquanti e isocosti, fornendo gli strumenti per l'analisi dell'efficienza tecnica ed economica.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La sezione macroeconomica presenta una sequenza di modelli di crescente complessità. Il modello reddito-spesa del capitolo 8 costituisce il fondamento keynesiano di base, mentre il modello IS-LM del capitolo 9 introduce il ruolo della moneta e dei mercati finanziari. Il modello AD-AS del capitolo 10 completa il </w:t>
      </w:r>
      <w:proofErr w:type="spellStart"/>
      <w:r w:rsidRPr="004A745E">
        <w:rPr>
          <w:rFonts w:ascii="Segoe UI" w:hAnsi="Segoe UI" w:cs="Segoe UI"/>
          <w:sz w:val="20"/>
          <w:szCs w:val="20"/>
        </w:rPr>
        <w:t>framework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 con l'analisi dell'offerta aggregata e delle dinamiche inflazionistiche.</w:t>
      </w:r>
    </w:p>
    <w:p w:rsid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Il capitolo 12 sulle economie aperte presenta modelli sofisticati che integrano tassi di cambio, flussi commerciali e movimenti di capitale, probabilmente includendo il modello </w:t>
      </w:r>
      <w:proofErr w:type="spellStart"/>
      <w:r w:rsidRPr="004A745E">
        <w:rPr>
          <w:rFonts w:ascii="Segoe UI" w:hAnsi="Segoe UI" w:cs="Segoe UI"/>
          <w:sz w:val="20"/>
          <w:szCs w:val="20"/>
        </w:rPr>
        <w:t>Mundell</w:t>
      </w:r>
      <w:proofErr w:type="spellEnd"/>
      <w:r w:rsidRPr="004A745E">
        <w:rPr>
          <w:rFonts w:ascii="Segoe UI" w:hAnsi="Segoe UI" w:cs="Segoe UI"/>
          <w:sz w:val="20"/>
          <w:szCs w:val="20"/>
        </w:rPr>
        <w:t>-Fleming e sue estensioni moderne.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Style w:val="Enfasigrassetto"/>
          <w:rFonts w:ascii="Segoe UI" w:hAnsi="Segoe UI" w:cs="Segoe UI"/>
          <w:sz w:val="20"/>
          <w:szCs w:val="20"/>
          <w:bdr w:val="single" w:sz="2" w:space="0" w:color="auto" w:frame="1"/>
        </w:rPr>
        <w:t>Modelli di Crescita Economica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La trattazione della crescita economica non appare come argomento autonomo nell'indice, suggerendo un approccio che integra gli elementi di crescita all'interno dei modelli macroeconomici generali. Il capitolo 10 </w:t>
      </w:r>
      <w:r w:rsidRPr="004A745E">
        <w:rPr>
          <w:rFonts w:ascii="Segoe UI" w:hAnsi="Segoe UI" w:cs="Segoe UI"/>
          <w:sz w:val="20"/>
          <w:szCs w:val="20"/>
        </w:rPr>
        <w:lastRenderedPageBreak/>
        <w:t>include probabilmente elementi di crescita attraverso l'analisi dell'offerta aggregata di lungo periodo, mentre il capitolo 12 sulle economie aperte può incorporare modelli di crescita in contesto internazionale.</w:t>
      </w:r>
    </w:p>
    <w:p w:rsid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Questa scelta editoriale riflette un approccio che vede la crescita come risultato dell'interazione tra domanda e offerta aggregate piuttosto che come fenomeno separato, coerentemente con la tradizione macroeconomica europea che tende a integrare crescita e fluttuazioni in un </w:t>
      </w:r>
      <w:proofErr w:type="spellStart"/>
      <w:r w:rsidRPr="004A745E">
        <w:rPr>
          <w:rFonts w:ascii="Segoe UI" w:hAnsi="Segoe UI" w:cs="Segoe UI"/>
          <w:sz w:val="20"/>
          <w:szCs w:val="20"/>
        </w:rPr>
        <w:t>framework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 unificato.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Style w:val="Enfasigrassetto"/>
          <w:rFonts w:ascii="Segoe UI" w:hAnsi="Segoe UI" w:cs="Segoe UI"/>
          <w:sz w:val="20"/>
          <w:szCs w:val="20"/>
          <w:bdr w:val="single" w:sz="2" w:space="0" w:color="auto" w:frame="1"/>
        </w:rPr>
        <w:t>Trattazione Temporale: Breve e Lungo Periodo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L'approccio temporale è sistematicamente sviluppato fin dai primi capitoli microeconomici. Il capitolo 2 sulla teoria dell'impresa introduce esplicitamente la distinzione tra costi di breve e lungo periodo (sezione 2.3), stabilendo il </w:t>
      </w:r>
      <w:proofErr w:type="spellStart"/>
      <w:r w:rsidRPr="004A745E">
        <w:rPr>
          <w:rFonts w:ascii="Segoe UI" w:hAnsi="Segoe UI" w:cs="Segoe UI"/>
          <w:sz w:val="20"/>
          <w:szCs w:val="20"/>
        </w:rPr>
        <w:t>framework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 concettuale che verrà poi applicato nell'analisi dei mercati.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>Il capitolo 3 sviluppa questa distinzione nell'analisi della concorrenza perfetta, con sezioni separate per equilibrio di breve e lungo periodo dell'impresa e dell'industria. Questa progressione dal breve al lungo periodo permette agli studenti di comprendere come i vincoli di capacità produttiva si allentino nel tempo.</w:t>
      </w:r>
    </w:p>
    <w:p w:rsid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>A livello macroeconomico, la distinzione temporale è particolarmente evidente nel modello AD-AS del capitolo 10, dove si analizza l'offerta aggregata in "brevissimo", "breve" e presumibilmente lungo periodo. Il capitolo 11 approfondisce questa analisi attraverso modelli che incorporano aspettative e rigidità nominali, elementi cruciali per comprendere le dinamiche temporali dei fenomeni macroeconomici.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bookmarkStart w:id="0" w:name="_GoBack"/>
      <w:bookmarkEnd w:id="0"/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Style w:val="Enfasigrassetto"/>
          <w:rFonts w:ascii="Segoe UI" w:hAnsi="Segoe UI" w:cs="Segoe UI"/>
          <w:sz w:val="20"/>
          <w:szCs w:val="20"/>
          <w:bdr w:val="single" w:sz="2" w:space="0" w:color="auto" w:frame="1"/>
        </w:rPr>
        <w:t>Argomenti Non Standard e Innovazioni Didattiche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>Il manuale presenta diverse innovazioni significative rispetto ai testi tradizionali. La struttura bipartita "Per capire"/"Per approfondire" rappresenta un'innovazione didattica importante, permettendo una fruizione flessibile del contenuto e facilitando l'adattamento a corsi con diversi livelli di approfondimento matematico.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Il capitolo 4 sui fallimenti del mercato è particolarmente completo, includendo esternalità, beni pubblici e asimmetrie informative in un unico </w:t>
      </w:r>
      <w:proofErr w:type="spellStart"/>
      <w:r w:rsidRPr="004A745E">
        <w:rPr>
          <w:rFonts w:ascii="Segoe UI" w:hAnsi="Segoe UI" w:cs="Segoe UI"/>
          <w:sz w:val="20"/>
          <w:szCs w:val="20"/>
        </w:rPr>
        <w:t>framework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. La sezione di approfondimento presenta il teorema di </w:t>
      </w:r>
      <w:proofErr w:type="spellStart"/>
      <w:r w:rsidRPr="004A745E">
        <w:rPr>
          <w:rFonts w:ascii="Segoe UI" w:hAnsi="Segoe UI" w:cs="Segoe UI"/>
          <w:sz w:val="20"/>
          <w:szCs w:val="20"/>
        </w:rPr>
        <w:t>Coase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 e i permessi negoziabili, argomenti spesso trascurati nei testi introduttivi ma fondamentali per comprendere le moderne politiche ambientali.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La sezione avanzata del capitolo 2 rappresenta un'innovazione significativa, introducendo elementi di economia industriale moderna attraverso la teoria dei costi di transazione di </w:t>
      </w:r>
      <w:proofErr w:type="spellStart"/>
      <w:r w:rsidRPr="004A745E">
        <w:rPr>
          <w:rFonts w:ascii="Segoe UI" w:hAnsi="Segoe UI" w:cs="Segoe UI"/>
          <w:sz w:val="20"/>
          <w:szCs w:val="20"/>
        </w:rPr>
        <w:t>Williamson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 e la teoria dei contratti incompleti. Questo approccio permette agli studenti di comprendere le basi teoriche dell'organizzazione industriale contemporanea.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Il capitolo 6 sull'economia del benessere include elementi avanzati come il teorema dell'impossibilità di Arrow e il paradosso di </w:t>
      </w:r>
      <w:proofErr w:type="spellStart"/>
      <w:r w:rsidRPr="004A745E">
        <w:rPr>
          <w:rFonts w:ascii="Segoe UI" w:hAnsi="Segoe UI" w:cs="Segoe UI"/>
          <w:sz w:val="20"/>
          <w:szCs w:val="20"/>
        </w:rPr>
        <w:t>Condorcet</w:t>
      </w:r>
      <w:proofErr w:type="spellEnd"/>
      <w:r w:rsidRPr="004A745E">
        <w:rPr>
          <w:rFonts w:ascii="Segoe UI" w:hAnsi="Segoe UI" w:cs="Segoe UI"/>
          <w:sz w:val="20"/>
          <w:szCs w:val="20"/>
        </w:rPr>
        <w:t>, argomenti tipicamente riservati a corsi di scelta pubblica ma qui resi accessibili attraverso un'esposizione graduata.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>Sul fronte macroeconomico, il capitolo 11 presenta un'analisi comparativa esplicita tra Nuova Macroeconomia Classica e Keynesiana, offrendo agli studenti una panoramica delle principali controversie teoriche contemporanee. Questa impostazione riflette un approccio pedagogico che privilegia la comprensione critica rispetto alla mera acquisizione di tecniche.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Il capitolo 12 sulle economie aperte presenta una trattazione particolarmente approfondita che include non solo i modelli standard ma anche fenomeni come l'effetto </w:t>
      </w:r>
      <w:proofErr w:type="spellStart"/>
      <w:r w:rsidRPr="004A745E">
        <w:rPr>
          <w:rFonts w:ascii="Segoe UI" w:hAnsi="Segoe UI" w:cs="Segoe UI"/>
          <w:sz w:val="20"/>
          <w:szCs w:val="20"/>
        </w:rPr>
        <w:t>Balassa-Samuelson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 e la sostituibilità imperfetta tra attività finanziarie, elementi che riflettono le complessità dell'economia internazionale moderna.</w:t>
      </w:r>
    </w:p>
    <w:p w:rsidR="004A745E" w:rsidRPr="004A745E" w:rsidRDefault="004A745E" w:rsidP="004A745E">
      <w:pPr>
        <w:pStyle w:val="NormaleWeb"/>
        <w:spacing w:before="0" w:beforeAutospacing="0" w:after="0" w:afterAutospacing="0"/>
        <w:jc w:val="both"/>
        <w:rPr>
          <w:rFonts w:ascii="Segoe UI" w:hAnsi="Segoe UI" w:cs="Segoe UI"/>
          <w:sz w:val="20"/>
          <w:szCs w:val="20"/>
        </w:rPr>
      </w:pPr>
      <w:r w:rsidRPr="004A745E">
        <w:rPr>
          <w:rFonts w:ascii="Segoe UI" w:hAnsi="Segoe UI" w:cs="Segoe UI"/>
          <w:sz w:val="20"/>
          <w:szCs w:val="20"/>
        </w:rPr>
        <w:t xml:space="preserve">L'inclusione sistematica di riferimenti bibliografici e </w:t>
      </w:r>
      <w:proofErr w:type="spellStart"/>
      <w:r w:rsidRPr="004A745E">
        <w:rPr>
          <w:rFonts w:ascii="Segoe UI" w:hAnsi="Segoe UI" w:cs="Segoe UI"/>
          <w:sz w:val="20"/>
          <w:szCs w:val="20"/>
        </w:rPr>
        <w:t>sitografici</w:t>
      </w:r>
      <w:proofErr w:type="spellEnd"/>
      <w:r w:rsidRPr="004A745E">
        <w:rPr>
          <w:rFonts w:ascii="Segoe UI" w:hAnsi="Segoe UI" w:cs="Segoe UI"/>
          <w:sz w:val="20"/>
          <w:szCs w:val="20"/>
        </w:rPr>
        <w:t xml:space="preserve"> in ogni capitolo indica un'attenzione particolare alla connessione tra insegnamento e ricerca, incoraggiando gli studenti ad approfondire autonomamente gli argomenti trattati e a sviluppare capacità di ricerca bibliografica.</w:t>
      </w:r>
    </w:p>
    <w:p w:rsidR="00D24BFA" w:rsidRPr="004A745E" w:rsidRDefault="00D24BFA" w:rsidP="004A745E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</w:p>
    <w:sectPr w:rsidR="00D24BFA" w:rsidRPr="004A74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45E"/>
    <w:rsid w:val="004A745E"/>
    <w:rsid w:val="00D2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302F7C-0F07-4AE4-9451-DA750B5F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doni MT" w:eastAsiaTheme="minorHAnsi" w:hAnsi="Bodoni MT" w:cstheme="minorBidi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4A7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A74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67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Zanichelli</dc:creator>
  <cp:keywords/>
  <dc:description/>
  <cp:lastModifiedBy>Zanichelli</cp:lastModifiedBy>
  <cp:revision>1</cp:revision>
  <dcterms:created xsi:type="dcterms:W3CDTF">2025-09-27T06:53:00Z</dcterms:created>
  <dcterms:modified xsi:type="dcterms:W3CDTF">2025-09-27T06:55:00Z</dcterms:modified>
</cp:coreProperties>
</file>