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2130" w:rsidRPr="00662130" w:rsidRDefault="00662130" w:rsidP="00662130">
      <w:pPr>
        <w:pStyle w:val="NormaleWeb"/>
        <w:spacing w:before="0" w:beforeAutospacing="0" w:after="0" w:afterAutospacing="0"/>
        <w:jc w:val="center"/>
        <w:rPr>
          <w:rStyle w:val="Enfasigrassetto"/>
          <w:rFonts w:ascii="Segoe UI" w:hAnsi="Segoe UI" w:cs="Segoe UI"/>
          <w:bdr w:val="single" w:sz="2" w:space="0" w:color="auto" w:frame="1"/>
        </w:rPr>
      </w:pPr>
      <w:r w:rsidRPr="00662130">
        <w:rPr>
          <w:rStyle w:val="Enfasigrassetto"/>
          <w:rFonts w:ascii="Segoe UI" w:hAnsi="Segoe UI" w:cs="Segoe UI"/>
          <w:bdr w:val="single" w:sz="2" w:space="0" w:color="auto" w:frame="1"/>
        </w:rPr>
        <w:t>REPORT ANALITICO: "ECONO</w:t>
      </w:r>
      <w:r w:rsidRPr="00662130">
        <w:rPr>
          <w:rStyle w:val="Enfasigrassetto"/>
          <w:rFonts w:ascii="Segoe UI" w:hAnsi="Segoe UI" w:cs="Segoe UI"/>
          <w:bdr w:val="single" w:sz="2" w:space="0" w:color="auto" w:frame="1"/>
        </w:rPr>
        <w:t>MIA" - BEGG ET AL.</w:t>
      </w:r>
    </w:p>
    <w:p w:rsidR="00662130" w:rsidRPr="00662130" w:rsidRDefault="00662130" w:rsidP="00662130">
      <w:pPr>
        <w:pStyle w:val="NormaleWeb"/>
        <w:spacing w:before="0" w:beforeAutospacing="0" w:after="0" w:afterAutospacing="0"/>
        <w:jc w:val="both"/>
        <w:rPr>
          <w:rFonts w:ascii="Segoe UI" w:hAnsi="Segoe UI" w:cs="Segoe UI"/>
          <w:sz w:val="20"/>
          <w:szCs w:val="20"/>
        </w:rPr>
      </w:pPr>
    </w:p>
    <w:p w:rsidR="00662130" w:rsidRPr="00662130" w:rsidRDefault="00662130" w:rsidP="00662130">
      <w:pPr>
        <w:pStyle w:val="NormaleWeb"/>
        <w:spacing w:before="0" w:beforeAutospacing="0" w:after="0" w:afterAutospacing="0"/>
        <w:jc w:val="both"/>
        <w:rPr>
          <w:rFonts w:ascii="Segoe UI" w:hAnsi="Segoe UI" w:cs="Segoe UI"/>
          <w:sz w:val="20"/>
          <w:szCs w:val="20"/>
        </w:rPr>
      </w:pPr>
      <w:r w:rsidRPr="00662130">
        <w:rPr>
          <w:rStyle w:val="Enfasigrassetto"/>
          <w:rFonts w:ascii="Segoe UI" w:hAnsi="Segoe UI" w:cs="Segoe UI"/>
          <w:sz w:val="20"/>
          <w:szCs w:val="20"/>
          <w:bdr w:val="single" w:sz="2" w:space="0" w:color="auto" w:frame="1"/>
        </w:rPr>
        <w:t>Inquadramento Generale dell'Opera</w:t>
      </w:r>
    </w:p>
    <w:p w:rsidR="00662130" w:rsidRPr="00662130" w:rsidRDefault="00662130" w:rsidP="00662130">
      <w:pPr>
        <w:pStyle w:val="NormaleWeb"/>
        <w:spacing w:before="0" w:beforeAutospacing="0" w:after="0" w:afterAutospacing="0"/>
        <w:jc w:val="both"/>
        <w:rPr>
          <w:rFonts w:ascii="Segoe UI" w:hAnsi="Segoe UI" w:cs="Segoe UI"/>
          <w:sz w:val="20"/>
          <w:szCs w:val="20"/>
        </w:rPr>
      </w:pPr>
      <w:r w:rsidRPr="00662130">
        <w:rPr>
          <w:rFonts w:ascii="Segoe UI" w:hAnsi="Segoe UI" w:cs="Segoe UI"/>
          <w:sz w:val="20"/>
          <w:szCs w:val="20"/>
        </w:rPr>
        <w:t xml:space="preserve">Il manuale di </w:t>
      </w:r>
      <w:proofErr w:type="spellStart"/>
      <w:r w:rsidRPr="00662130">
        <w:rPr>
          <w:rFonts w:ascii="Segoe UI" w:hAnsi="Segoe UI" w:cs="Segoe UI"/>
          <w:sz w:val="20"/>
          <w:szCs w:val="20"/>
        </w:rPr>
        <w:t>Begg</w:t>
      </w:r>
      <w:proofErr w:type="spellEnd"/>
      <w:r w:rsidRPr="00662130">
        <w:rPr>
          <w:rFonts w:ascii="Segoe UI" w:hAnsi="Segoe UI" w:cs="Segoe UI"/>
          <w:sz w:val="20"/>
          <w:szCs w:val="20"/>
        </w:rPr>
        <w:t xml:space="preserve"> rappresenta un approccio sistematico e completo all'insegnamento dell'economia, caratterizzato da una particolare attenzione all'integrazione tra teoria economica e problematiche contemporanee. L'architettura dell'opera, organizzata in cinque parti principali (Introduzione, Microeconomia positiva, Economia normativa, Macroeconomia, Economia mondiale), rivela una strategia didattica che procede dai fondamenti teorici alle applicazioni internazionali, con particolare enfasi sul contesto europeo e globale.</w:t>
      </w:r>
    </w:p>
    <w:p w:rsidR="00662130" w:rsidRPr="00662130" w:rsidRDefault="00662130" w:rsidP="00662130">
      <w:pPr>
        <w:pStyle w:val="NormaleWeb"/>
        <w:spacing w:before="0" w:beforeAutospacing="0" w:after="0" w:afterAutospacing="0"/>
        <w:jc w:val="both"/>
        <w:rPr>
          <w:rFonts w:ascii="Segoe UI" w:hAnsi="Segoe UI" w:cs="Segoe UI"/>
          <w:sz w:val="20"/>
          <w:szCs w:val="20"/>
        </w:rPr>
      </w:pPr>
      <w:r w:rsidRPr="00662130">
        <w:rPr>
          <w:rFonts w:ascii="Segoe UI" w:hAnsi="Segoe UI" w:cs="Segoe UI"/>
          <w:sz w:val="20"/>
          <w:szCs w:val="20"/>
        </w:rPr>
        <w:t xml:space="preserve">La struttura del testo si distingue per l'equilibrio tra rigore analitico e accessibilità pedagogica, evidente nella sistematica presenza di appendici matematiche, esempi applicativi e collegamenti con l'attualità economica. L'innovazione principale risiede nell'integrazione costante di tematiche contemporanee, dalla globalizzazione alla digitalizzazione, dalla pandemia COVID-19 alla </w:t>
      </w:r>
      <w:proofErr w:type="spellStart"/>
      <w:r w:rsidRPr="00662130">
        <w:rPr>
          <w:rFonts w:ascii="Segoe UI" w:hAnsi="Segoe UI" w:cs="Segoe UI"/>
          <w:sz w:val="20"/>
          <w:szCs w:val="20"/>
        </w:rPr>
        <w:t>Brexit</w:t>
      </w:r>
      <w:proofErr w:type="spellEnd"/>
      <w:r w:rsidRPr="00662130">
        <w:rPr>
          <w:rFonts w:ascii="Segoe UI" w:hAnsi="Segoe UI" w:cs="Segoe UI"/>
          <w:sz w:val="20"/>
          <w:szCs w:val="20"/>
        </w:rPr>
        <w:t>, mantenendo il testo aggiornato con gli sviluppi economici più recenti.</w:t>
      </w:r>
    </w:p>
    <w:p w:rsidR="00662130" w:rsidRDefault="00662130" w:rsidP="00662130">
      <w:pPr>
        <w:pStyle w:val="NormaleWeb"/>
        <w:spacing w:before="0" w:beforeAutospacing="0" w:after="0" w:afterAutospacing="0"/>
        <w:jc w:val="both"/>
        <w:rPr>
          <w:rFonts w:ascii="Segoe UI" w:hAnsi="Segoe UI" w:cs="Segoe UI"/>
          <w:sz w:val="20"/>
          <w:szCs w:val="20"/>
        </w:rPr>
      </w:pPr>
      <w:r w:rsidRPr="00662130">
        <w:rPr>
          <w:rFonts w:ascii="Segoe UI" w:hAnsi="Segoe UI" w:cs="Segoe UI"/>
          <w:sz w:val="20"/>
          <w:szCs w:val="20"/>
        </w:rPr>
        <w:t>L'approccio pedagogico è caratterizzato dall'uso sistematico di "Riepiloghi" strutturati e dall'integrazione di un eserciziario completo, indicando un'attenzione particolare agli aspetti pratici dell'apprendimento. La presenza di capitoli dedicati all'economia comportamentale e digitale (Capitolo 6) e alle controversie macroeconomiche contemporanee (Capitolo 26) riflette la volontà di fornire agli studenti una comprensione critica e aggiornata della disciplina.</w:t>
      </w:r>
    </w:p>
    <w:p w:rsidR="00662130" w:rsidRPr="00662130" w:rsidRDefault="00662130" w:rsidP="00662130">
      <w:pPr>
        <w:pStyle w:val="NormaleWeb"/>
        <w:spacing w:before="0" w:beforeAutospacing="0" w:after="0" w:afterAutospacing="0"/>
        <w:jc w:val="both"/>
        <w:rPr>
          <w:rFonts w:ascii="Segoe UI" w:hAnsi="Segoe UI" w:cs="Segoe UI"/>
          <w:sz w:val="20"/>
          <w:szCs w:val="20"/>
        </w:rPr>
      </w:pPr>
    </w:p>
    <w:p w:rsidR="00662130" w:rsidRPr="00662130" w:rsidRDefault="00662130" w:rsidP="00662130">
      <w:pPr>
        <w:pStyle w:val="NormaleWeb"/>
        <w:spacing w:before="0" w:beforeAutospacing="0" w:after="0" w:afterAutospacing="0"/>
        <w:jc w:val="both"/>
        <w:rPr>
          <w:rFonts w:ascii="Segoe UI" w:hAnsi="Segoe UI" w:cs="Segoe UI"/>
          <w:sz w:val="20"/>
          <w:szCs w:val="20"/>
        </w:rPr>
      </w:pPr>
      <w:r w:rsidRPr="00662130">
        <w:rPr>
          <w:rStyle w:val="Enfasigrassetto"/>
          <w:rFonts w:ascii="Segoe UI" w:hAnsi="Segoe UI" w:cs="Segoe UI"/>
          <w:sz w:val="20"/>
          <w:szCs w:val="20"/>
          <w:bdr w:val="single" w:sz="2" w:space="0" w:color="auto" w:frame="1"/>
        </w:rPr>
        <w:t>Scuole di Pensiero Economiche di Riferimento</w:t>
      </w:r>
    </w:p>
    <w:p w:rsidR="00662130" w:rsidRPr="00662130" w:rsidRDefault="00662130" w:rsidP="00662130">
      <w:pPr>
        <w:pStyle w:val="NormaleWeb"/>
        <w:spacing w:before="0" w:beforeAutospacing="0" w:after="0" w:afterAutospacing="0"/>
        <w:jc w:val="both"/>
        <w:rPr>
          <w:rFonts w:ascii="Segoe UI" w:hAnsi="Segoe UI" w:cs="Segoe UI"/>
          <w:sz w:val="20"/>
          <w:szCs w:val="20"/>
        </w:rPr>
      </w:pPr>
      <w:r w:rsidRPr="00662130">
        <w:rPr>
          <w:rFonts w:ascii="Segoe UI" w:hAnsi="Segoe UI" w:cs="Segoe UI"/>
          <w:sz w:val="20"/>
          <w:szCs w:val="20"/>
        </w:rPr>
        <w:t xml:space="preserve">L'impostazione teorica di </w:t>
      </w:r>
      <w:proofErr w:type="spellStart"/>
      <w:r w:rsidRPr="00662130">
        <w:rPr>
          <w:rFonts w:ascii="Segoe UI" w:hAnsi="Segoe UI" w:cs="Segoe UI"/>
          <w:sz w:val="20"/>
          <w:szCs w:val="20"/>
        </w:rPr>
        <w:t>Begg</w:t>
      </w:r>
      <w:proofErr w:type="spellEnd"/>
      <w:r w:rsidRPr="00662130">
        <w:rPr>
          <w:rFonts w:ascii="Segoe UI" w:hAnsi="Segoe UI" w:cs="Segoe UI"/>
          <w:sz w:val="20"/>
          <w:szCs w:val="20"/>
        </w:rPr>
        <w:t xml:space="preserve"> è caratterizzata da un pragmatismo metodologico che integra diversi approcci teorici senza privilegiare dogmaticamente una singola scuola. La sezione microeconomica segue prevalentemente l'approccio neoclassico </w:t>
      </w:r>
      <w:proofErr w:type="spellStart"/>
      <w:r w:rsidRPr="00662130">
        <w:rPr>
          <w:rFonts w:ascii="Segoe UI" w:hAnsi="Segoe UI" w:cs="Segoe UI"/>
          <w:sz w:val="20"/>
          <w:szCs w:val="20"/>
        </w:rPr>
        <w:t>mainstream</w:t>
      </w:r>
      <w:proofErr w:type="spellEnd"/>
      <w:r w:rsidRPr="00662130">
        <w:rPr>
          <w:rFonts w:ascii="Segoe UI" w:hAnsi="Segoe UI" w:cs="Segoe UI"/>
          <w:sz w:val="20"/>
          <w:szCs w:val="20"/>
        </w:rPr>
        <w:t>, con particolare enfasi sull'analisi dell'equilibrio parziale e sui meccanismi di ottimizzazione.</w:t>
      </w:r>
    </w:p>
    <w:p w:rsidR="00662130" w:rsidRPr="00662130" w:rsidRDefault="00662130" w:rsidP="00662130">
      <w:pPr>
        <w:pStyle w:val="NormaleWeb"/>
        <w:spacing w:before="0" w:beforeAutospacing="0" w:after="0" w:afterAutospacing="0"/>
        <w:jc w:val="both"/>
        <w:rPr>
          <w:rFonts w:ascii="Segoe UI" w:hAnsi="Segoe UI" w:cs="Segoe UI"/>
          <w:sz w:val="20"/>
          <w:szCs w:val="20"/>
        </w:rPr>
      </w:pPr>
      <w:r w:rsidRPr="00662130">
        <w:rPr>
          <w:rFonts w:ascii="Segoe UI" w:hAnsi="Segoe UI" w:cs="Segoe UI"/>
          <w:sz w:val="20"/>
          <w:szCs w:val="20"/>
        </w:rPr>
        <w:t xml:space="preserve">Tuttavia, l'inclusione sistematica dell'economia comportamentale (Capitolo 6) indica un'apertura verso gli sviluppi più recenti della disciplina, incorporando elementi di psicologia economica, teoria del prospetto ed economia sperimentale. L'analisi della "razionalità limitata" e degli "effetti dotazione" riflette l'influenza di autori come </w:t>
      </w:r>
      <w:proofErr w:type="spellStart"/>
      <w:r w:rsidRPr="00662130">
        <w:rPr>
          <w:rFonts w:ascii="Segoe UI" w:hAnsi="Segoe UI" w:cs="Segoe UI"/>
          <w:sz w:val="20"/>
          <w:szCs w:val="20"/>
        </w:rPr>
        <w:t>Kahneman</w:t>
      </w:r>
      <w:proofErr w:type="spellEnd"/>
      <w:r w:rsidRPr="00662130">
        <w:rPr>
          <w:rFonts w:ascii="Segoe UI" w:hAnsi="Segoe UI" w:cs="Segoe UI"/>
          <w:sz w:val="20"/>
          <w:szCs w:val="20"/>
        </w:rPr>
        <w:t xml:space="preserve">, </w:t>
      </w:r>
      <w:proofErr w:type="spellStart"/>
      <w:r w:rsidRPr="00662130">
        <w:rPr>
          <w:rFonts w:ascii="Segoe UI" w:hAnsi="Segoe UI" w:cs="Segoe UI"/>
          <w:sz w:val="20"/>
          <w:szCs w:val="20"/>
        </w:rPr>
        <w:t>Tversky</w:t>
      </w:r>
      <w:proofErr w:type="spellEnd"/>
      <w:r w:rsidRPr="00662130">
        <w:rPr>
          <w:rFonts w:ascii="Segoe UI" w:hAnsi="Segoe UI" w:cs="Segoe UI"/>
          <w:sz w:val="20"/>
          <w:szCs w:val="20"/>
        </w:rPr>
        <w:t xml:space="preserve"> e </w:t>
      </w:r>
      <w:proofErr w:type="spellStart"/>
      <w:r w:rsidRPr="00662130">
        <w:rPr>
          <w:rFonts w:ascii="Segoe UI" w:hAnsi="Segoe UI" w:cs="Segoe UI"/>
          <w:sz w:val="20"/>
          <w:szCs w:val="20"/>
        </w:rPr>
        <w:t>Thaler</w:t>
      </w:r>
      <w:proofErr w:type="spellEnd"/>
      <w:r w:rsidRPr="00662130">
        <w:rPr>
          <w:rFonts w:ascii="Segoe UI" w:hAnsi="Segoe UI" w:cs="Segoe UI"/>
          <w:sz w:val="20"/>
          <w:szCs w:val="20"/>
        </w:rPr>
        <w:t>.</w:t>
      </w:r>
    </w:p>
    <w:p w:rsidR="00662130" w:rsidRPr="00662130" w:rsidRDefault="00662130" w:rsidP="00662130">
      <w:pPr>
        <w:pStyle w:val="NormaleWeb"/>
        <w:spacing w:before="0" w:beforeAutospacing="0" w:after="0" w:afterAutospacing="0"/>
        <w:jc w:val="both"/>
        <w:rPr>
          <w:rFonts w:ascii="Segoe UI" w:hAnsi="Segoe UI" w:cs="Segoe UI"/>
          <w:sz w:val="20"/>
          <w:szCs w:val="20"/>
        </w:rPr>
      </w:pPr>
      <w:r w:rsidRPr="00662130">
        <w:rPr>
          <w:rFonts w:ascii="Segoe UI" w:hAnsi="Segoe UI" w:cs="Segoe UI"/>
          <w:sz w:val="20"/>
          <w:szCs w:val="20"/>
        </w:rPr>
        <w:t>Sul fronte macroeconomico, l'approccio è distintamente eclettico, con il Capitolo 26 che presenta esplicitamente diverse scuole di pensiero: "macroeconomia neoclassica", "monetaristi moderati", "keynesiani moderati" e "keynesiani estremi". Questa impostazione pedagogica aiuta gli studenti a comprendere la pluralità teorica esistente nel dibattito macroeconomico contemporaneo.</w:t>
      </w:r>
    </w:p>
    <w:p w:rsidR="00662130" w:rsidRDefault="00662130" w:rsidP="00662130">
      <w:pPr>
        <w:pStyle w:val="NormaleWeb"/>
        <w:spacing w:before="0" w:beforeAutospacing="0" w:after="0" w:afterAutospacing="0"/>
        <w:jc w:val="both"/>
        <w:rPr>
          <w:rFonts w:ascii="Segoe UI" w:hAnsi="Segoe UI" w:cs="Segoe UI"/>
          <w:sz w:val="20"/>
          <w:szCs w:val="20"/>
        </w:rPr>
      </w:pPr>
      <w:r w:rsidRPr="00662130">
        <w:rPr>
          <w:rFonts w:ascii="Segoe UI" w:hAnsi="Segoe UI" w:cs="Segoe UI"/>
          <w:sz w:val="20"/>
          <w:szCs w:val="20"/>
        </w:rPr>
        <w:t>La sezione di economia normativa (Parte 3) incorpora elementi della moderna economia del benessere, con particolare attenzione ai fallimenti del mercato e alle politiche pubbliche. L'analisi dell'economia ambientale e dei cambiamenti climatici riflette l'influenza dell'economia ambientale moderna e degli approcci di policy design.</w:t>
      </w:r>
    </w:p>
    <w:p w:rsidR="00662130" w:rsidRPr="00662130" w:rsidRDefault="00662130" w:rsidP="00662130">
      <w:pPr>
        <w:pStyle w:val="NormaleWeb"/>
        <w:spacing w:before="0" w:beforeAutospacing="0" w:after="0" w:afterAutospacing="0"/>
        <w:jc w:val="both"/>
        <w:rPr>
          <w:rFonts w:ascii="Segoe UI" w:hAnsi="Segoe UI" w:cs="Segoe UI"/>
          <w:sz w:val="20"/>
          <w:szCs w:val="20"/>
        </w:rPr>
      </w:pPr>
    </w:p>
    <w:p w:rsidR="00662130" w:rsidRPr="00662130" w:rsidRDefault="00662130" w:rsidP="00662130">
      <w:pPr>
        <w:pStyle w:val="NormaleWeb"/>
        <w:spacing w:before="0" w:beforeAutospacing="0" w:after="0" w:afterAutospacing="0"/>
        <w:jc w:val="both"/>
        <w:rPr>
          <w:rFonts w:ascii="Segoe UI" w:hAnsi="Segoe UI" w:cs="Segoe UI"/>
          <w:sz w:val="20"/>
          <w:szCs w:val="20"/>
        </w:rPr>
      </w:pPr>
      <w:r w:rsidRPr="00662130">
        <w:rPr>
          <w:rStyle w:val="Enfasigrassetto"/>
          <w:rFonts w:ascii="Segoe UI" w:hAnsi="Segoe UI" w:cs="Segoe UI"/>
          <w:sz w:val="20"/>
          <w:szCs w:val="20"/>
          <w:bdr w:val="single" w:sz="2" w:space="0" w:color="auto" w:frame="1"/>
        </w:rPr>
        <w:t>Modelli Economici Micro e Macroeconomici</w:t>
      </w:r>
    </w:p>
    <w:p w:rsidR="00662130" w:rsidRPr="00662130" w:rsidRDefault="00662130" w:rsidP="00662130">
      <w:pPr>
        <w:pStyle w:val="NormaleWeb"/>
        <w:spacing w:before="0" w:beforeAutospacing="0" w:after="0" w:afterAutospacing="0"/>
        <w:jc w:val="both"/>
        <w:rPr>
          <w:rFonts w:ascii="Segoe UI" w:hAnsi="Segoe UI" w:cs="Segoe UI"/>
          <w:sz w:val="20"/>
          <w:szCs w:val="20"/>
        </w:rPr>
      </w:pPr>
      <w:r w:rsidRPr="00662130">
        <w:rPr>
          <w:rFonts w:ascii="Segoe UI" w:hAnsi="Segoe UI" w:cs="Segoe UI"/>
          <w:sz w:val="20"/>
          <w:szCs w:val="20"/>
        </w:rPr>
        <w:t>La struttura microeconomica presenta una progressione completa e metodologicamente rigorosa. Il Capitolo 5 sulla teoria del consumatore sviluppa sistematicamente il modello di scelta attraverso vincoli di bilancio, curve di indifferenza e ottimizzazione, includendo analisi avanzate come la "scelta intertemporale" e i "trasferimenti di reddito".</w:t>
      </w:r>
    </w:p>
    <w:p w:rsidR="00662130" w:rsidRPr="00662130" w:rsidRDefault="00662130" w:rsidP="00662130">
      <w:pPr>
        <w:pStyle w:val="NormaleWeb"/>
        <w:spacing w:before="0" w:beforeAutospacing="0" w:after="0" w:afterAutospacing="0"/>
        <w:jc w:val="both"/>
        <w:rPr>
          <w:rFonts w:ascii="Segoe UI" w:hAnsi="Segoe UI" w:cs="Segoe UI"/>
          <w:sz w:val="20"/>
          <w:szCs w:val="20"/>
        </w:rPr>
      </w:pPr>
      <w:r w:rsidRPr="00662130">
        <w:rPr>
          <w:rFonts w:ascii="Segoe UI" w:hAnsi="Segoe UI" w:cs="Segoe UI"/>
          <w:sz w:val="20"/>
          <w:szCs w:val="20"/>
        </w:rPr>
        <w:t>Il Capitolo 7 sulla produzione e i costi presenta una trattazione particolarmente approfondita che distingue sistematicamente tra breve e lungo periodo, includendo analisi di economie e diseconomie di scala. L'integrazione di "funzioni di produzione", "costi marginali" e "massimizzazione del profitto" fornisce una base solida per l'analisi delle decisioni dell'impresa.</w:t>
      </w:r>
    </w:p>
    <w:p w:rsidR="00662130" w:rsidRPr="00662130" w:rsidRDefault="00662130" w:rsidP="00662130">
      <w:pPr>
        <w:pStyle w:val="NormaleWeb"/>
        <w:spacing w:before="0" w:beforeAutospacing="0" w:after="0" w:afterAutospacing="0"/>
        <w:jc w:val="both"/>
        <w:rPr>
          <w:rFonts w:ascii="Segoe UI" w:hAnsi="Segoe UI" w:cs="Segoe UI"/>
          <w:sz w:val="20"/>
          <w:szCs w:val="20"/>
        </w:rPr>
      </w:pPr>
      <w:r w:rsidRPr="00662130">
        <w:rPr>
          <w:rFonts w:ascii="Segoe UI" w:hAnsi="Segoe UI" w:cs="Segoe UI"/>
          <w:sz w:val="20"/>
          <w:szCs w:val="20"/>
        </w:rPr>
        <w:t xml:space="preserve">La sezione sulle strutture di mercato (Capitoli 8-10) presenta una trattazione completa che va dalla concorrenza perfetta al monopolio, all'oligopolio e alla concorrenza imperfetta. L'innovazione principale risiede nell'integrazione sistematica della teoria dei giochi (Capitolo 10) con modelli di </w:t>
      </w:r>
      <w:proofErr w:type="spellStart"/>
      <w:r w:rsidRPr="00662130">
        <w:rPr>
          <w:rFonts w:ascii="Segoe UI" w:hAnsi="Segoe UI" w:cs="Segoe UI"/>
          <w:sz w:val="20"/>
          <w:szCs w:val="20"/>
        </w:rPr>
        <w:t>Cournot</w:t>
      </w:r>
      <w:proofErr w:type="spellEnd"/>
      <w:r w:rsidRPr="00662130">
        <w:rPr>
          <w:rFonts w:ascii="Segoe UI" w:hAnsi="Segoe UI" w:cs="Segoe UI"/>
          <w:sz w:val="20"/>
          <w:szCs w:val="20"/>
        </w:rPr>
        <w:t xml:space="preserve">, Bertrand e </w:t>
      </w:r>
      <w:proofErr w:type="spellStart"/>
      <w:r w:rsidRPr="00662130">
        <w:rPr>
          <w:rFonts w:ascii="Segoe UI" w:hAnsi="Segoe UI" w:cs="Segoe UI"/>
          <w:sz w:val="20"/>
          <w:szCs w:val="20"/>
        </w:rPr>
        <w:t>Stackelberg</w:t>
      </w:r>
      <w:proofErr w:type="spellEnd"/>
      <w:r w:rsidRPr="00662130">
        <w:rPr>
          <w:rFonts w:ascii="Segoe UI" w:hAnsi="Segoe UI" w:cs="Segoe UI"/>
          <w:sz w:val="20"/>
          <w:szCs w:val="20"/>
        </w:rPr>
        <w:t>, fornendo strumenti avanzati per l'analisi strategica.</w:t>
      </w:r>
    </w:p>
    <w:p w:rsidR="00662130" w:rsidRPr="00662130" w:rsidRDefault="00662130" w:rsidP="00662130">
      <w:pPr>
        <w:pStyle w:val="NormaleWeb"/>
        <w:spacing w:before="0" w:beforeAutospacing="0" w:after="0" w:afterAutospacing="0"/>
        <w:jc w:val="both"/>
        <w:rPr>
          <w:rFonts w:ascii="Segoe UI" w:hAnsi="Segoe UI" w:cs="Segoe UI"/>
          <w:sz w:val="20"/>
          <w:szCs w:val="20"/>
        </w:rPr>
      </w:pPr>
      <w:r w:rsidRPr="00662130">
        <w:rPr>
          <w:rFonts w:ascii="Segoe UI" w:hAnsi="Segoe UI" w:cs="Segoe UI"/>
          <w:sz w:val="20"/>
          <w:szCs w:val="20"/>
        </w:rPr>
        <w:t>La sezione macroeconomica presenta una sequenza logica che parte dalla contabilità nazionale (Capitolo 15) per sviluppare il modello keynesiano di base (Capitolo 16), poi l'analisi fiscale e monetaria (Capitoli 17-18), il modello IS-LM (Capitolo 19) e infine l'analisi dell'offerta aggregata e dell'inflazione (Capitoli 20-21).</w:t>
      </w:r>
    </w:p>
    <w:p w:rsidR="00662130" w:rsidRPr="00662130" w:rsidRDefault="00662130" w:rsidP="00662130">
      <w:pPr>
        <w:pStyle w:val="NormaleWeb"/>
        <w:spacing w:before="0" w:beforeAutospacing="0" w:after="0" w:afterAutospacing="0"/>
        <w:jc w:val="both"/>
        <w:rPr>
          <w:rFonts w:ascii="Segoe UI" w:hAnsi="Segoe UI" w:cs="Segoe UI"/>
          <w:sz w:val="20"/>
          <w:szCs w:val="20"/>
        </w:rPr>
      </w:pPr>
      <w:r w:rsidRPr="00662130">
        <w:rPr>
          <w:rStyle w:val="Enfasigrassetto"/>
          <w:rFonts w:ascii="Segoe UI" w:hAnsi="Segoe UI" w:cs="Segoe UI"/>
          <w:sz w:val="20"/>
          <w:szCs w:val="20"/>
          <w:bdr w:val="single" w:sz="2" w:space="0" w:color="auto" w:frame="1"/>
        </w:rPr>
        <w:lastRenderedPageBreak/>
        <w:t>Modelli di Crescita Economica</w:t>
      </w:r>
    </w:p>
    <w:p w:rsidR="00662130" w:rsidRPr="00662130" w:rsidRDefault="00662130" w:rsidP="00662130">
      <w:pPr>
        <w:pStyle w:val="NormaleWeb"/>
        <w:spacing w:before="0" w:beforeAutospacing="0" w:after="0" w:afterAutospacing="0"/>
        <w:jc w:val="both"/>
        <w:rPr>
          <w:rFonts w:ascii="Segoe UI" w:hAnsi="Segoe UI" w:cs="Segoe UI"/>
          <w:sz w:val="20"/>
          <w:szCs w:val="20"/>
        </w:rPr>
      </w:pPr>
      <w:r w:rsidRPr="00662130">
        <w:rPr>
          <w:rFonts w:ascii="Segoe UI" w:hAnsi="Segoe UI" w:cs="Segoe UI"/>
          <w:sz w:val="20"/>
          <w:szCs w:val="20"/>
        </w:rPr>
        <w:t xml:space="preserve">La trattazione della crescita economica è concentrata nel Capitolo 25, che presenta un approccio moderno e completo. Il modello integra elementi del modello di </w:t>
      </w:r>
      <w:proofErr w:type="spellStart"/>
      <w:r w:rsidRPr="00662130">
        <w:rPr>
          <w:rFonts w:ascii="Segoe UI" w:hAnsi="Segoe UI" w:cs="Segoe UI"/>
          <w:sz w:val="20"/>
          <w:szCs w:val="20"/>
        </w:rPr>
        <w:t>Solow</w:t>
      </w:r>
      <w:proofErr w:type="spellEnd"/>
      <w:r w:rsidRPr="00662130">
        <w:rPr>
          <w:rFonts w:ascii="Segoe UI" w:hAnsi="Segoe UI" w:cs="Segoe UI"/>
          <w:sz w:val="20"/>
          <w:szCs w:val="20"/>
        </w:rPr>
        <w:t xml:space="preserve"> tradizionale ("accumulazione di capitale", "progresso tecnico") con contributi più recenti della teoria della crescita endogena.</w:t>
      </w:r>
    </w:p>
    <w:p w:rsidR="00662130" w:rsidRPr="00662130" w:rsidRDefault="00662130" w:rsidP="00662130">
      <w:pPr>
        <w:pStyle w:val="NormaleWeb"/>
        <w:spacing w:before="0" w:beforeAutospacing="0" w:after="0" w:afterAutospacing="0"/>
        <w:jc w:val="both"/>
        <w:rPr>
          <w:rFonts w:ascii="Segoe UI" w:hAnsi="Segoe UI" w:cs="Segoe UI"/>
          <w:sz w:val="20"/>
          <w:szCs w:val="20"/>
        </w:rPr>
      </w:pPr>
      <w:r w:rsidRPr="00662130">
        <w:rPr>
          <w:rFonts w:ascii="Segoe UI" w:hAnsi="Segoe UI" w:cs="Segoe UI"/>
          <w:sz w:val="20"/>
          <w:szCs w:val="20"/>
        </w:rPr>
        <w:t xml:space="preserve">L'analisi include sistematicamente fattori come "conoscenze tecniche", "ricerca e sviluppo" e "ipotesi di convergenza", riflettendo l'influenza della letteratura empirica sulla crescita. La sezione sulla "crescita endogena" incorpora elementi dei modelli di </w:t>
      </w:r>
      <w:proofErr w:type="spellStart"/>
      <w:r w:rsidRPr="00662130">
        <w:rPr>
          <w:rFonts w:ascii="Segoe UI" w:hAnsi="Segoe UI" w:cs="Segoe UI"/>
          <w:sz w:val="20"/>
          <w:szCs w:val="20"/>
        </w:rPr>
        <w:t>Romer</w:t>
      </w:r>
      <w:proofErr w:type="spellEnd"/>
      <w:r w:rsidRPr="00662130">
        <w:rPr>
          <w:rFonts w:ascii="Segoe UI" w:hAnsi="Segoe UI" w:cs="Segoe UI"/>
          <w:sz w:val="20"/>
          <w:szCs w:val="20"/>
        </w:rPr>
        <w:t xml:space="preserve"> e Lucas, mentre l'analisi dei "cicli economici reali" riflette l'influenza della scuola RBC.</w:t>
      </w:r>
    </w:p>
    <w:p w:rsidR="00662130" w:rsidRDefault="00662130" w:rsidP="00662130">
      <w:pPr>
        <w:pStyle w:val="NormaleWeb"/>
        <w:spacing w:before="0" w:beforeAutospacing="0" w:after="0" w:afterAutospacing="0"/>
        <w:jc w:val="both"/>
        <w:rPr>
          <w:rFonts w:ascii="Segoe UI" w:hAnsi="Segoe UI" w:cs="Segoe UI"/>
          <w:sz w:val="20"/>
          <w:szCs w:val="20"/>
        </w:rPr>
      </w:pPr>
      <w:r w:rsidRPr="00662130">
        <w:rPr>
          <w:rFonts w:ascii="Segoe UI" w:hAnsi="Segoe UI" w:cs="Segoe UI"/>
          <w:sz w:val="20"/>
          <w:szCs w:val="20"/>
        </w:rPr>
        <w:t>La distinzione tra "trend e ciclo" fornisce una comprensione integrata dei fenomeni di crescita di lungo periodo e fluttuazioni di breve periodo. L'inclusione di argomenti come "crescita zero" e "recessione e crescita post pandemia" riflette l'attenzione alle problematiche contemporanee della sostenibilità e delle crisi economiche.</w:t>
      </w:r>
    </w:p>
    <w:p w:rsidR="00662130" w:rsidRPr="00662130" w:rsidRDefault="00662130" w:rsidP="00662130">
      <w:pPr>
        <w:pStyle w:val="NormaleWeb"/>
        <w:spacing w:before="0" w:beforeAutospacing="0" w:after="0" w:afterAutospacing="0"/>
        <w:jc w:val="both"/>
        <w:rPr>
          <w:rFonts w:ascii="Segoe UI" w:hAnsi="Segoe UI" w:cs="Segoe UI"/>
          <w:sz w:val="20"/>
          <w:szCs w:val="20"/>
        </w:rPr>
      </w:pPr>
    </w:p>
    <w:p w:rsidR="00662130" w:rsidRPr="00662130" w:rsidRDefault="00662130" w:rsidP="00662130">
      <w:pPr>
        <w:pStyle w:val="NormaleWeb"/>
        <w:spacing w:before="0" w:beforeAutospacing="0" w:after="0" w:afterAutospacing="0"/>
        <w:jc w:val="both"/>
        <w:rPr>
          <w:rFonts w:ascii="Segoe UI" w:hAnsi="Segoe UI" w:cs="Segoe UI"/>
          <w:sz w:val="20"/>
          <w:szCs w:val="20"/>
        </w:rPr>
      </w:pPr>
      <w:r w:rsidRPr="00662130">
        <w:rPr>
          <w:rStyle w:val="Enfasigrassetto"/>
          <w:rFonts w:ascii="Segoe UI" w:hAnsi="Segoe UI" w:cs="Segoe UI"/>
          <w:sz w:val="20"/>
          <w:szCs w:val="20"/>
          <w:bdr w:val="single" w:sz="2" w:space="0" w:color="auto" w:frame="1"/>
        </w:rPr>
        <w:t>Trattazione Temporale: Breve e Lungo Periodo</w:t>
      </w:r>
    </w:p>
    <w:p w:rsidR="00662130" w:rsidRPr="00662130" w:rsidRDefault="00662130" w:rsidP="00662130">
      <w:pPr>
        <w:pStyle w:val="NormaleWeb"/>
        <w:spacing w:before="0" w:beforeAutospacing="0" w:after="0" w:afterAutospacing="0"/>
        <w:jc w:val="both"/>
        <w:rPr>
          <w:rFonts w:ascii="Segoe UI" w:hAnsi="Segoe UI" w:cs="Segoe UI"/>
          <w:sz w:val="20"/>
          <w:szCs w:val="20"/>
        </w:rPr>
      </w:pPr>
      <w:r w:rsidRPr="00662130">
        <w:rPr>
          <w:rFonts w:ascii="Segoe UI" w:hAnsi="Segoe UI" w:cs="Segoe UI"/>
          <w:sz w:val="20"/>
          <w:szCs w:val="20"/>
        </w:rPr>
        <w:t>L'approccio temporale è sistematicamente sviluppato sia a livello microeconomico che macroeconomico. Nel Capitolo 7 sulla produzione, la distinzione tra breve e lungo periodo è sviluppata attraverso l'analisi dei fattori fissi e variabili, delle economie di scala e dei costi di aggiustamento.</w:t>
      </w:r>
    </w:p>
    <w:p w:rsidR="00662130" w:rsidRPr="00662130" w:rsidRDefault="00662130" w:rsidP="00662130">
      <w:pPr>
        <w:pStyle w:val="NormaleWeb"/>
        <w:spacing w:before="0" w:beforeAutospacing="0" w:after="0" w:afterAutospacing="0"/>
        <w:jc w:val="both"/>
        <w:rPr>
          <w:rFonts w:ascii="Segoe UI" w:hAnsi="Segoe UI" w:cs="Segoe UI"/>
          <w:sz w:val="20"/>
          <w:szCs w:val="20"/>
        </w:rPr>
      </w:pPr>
      <w:r w:rsidRPr="00662130">
        <w:rPr>
          <w:rFonts w:ascii="Segoe UI" w:hAnsi="Segoe UI" w:cs="Segoe UI"/>
          <w:sz w:val="20"/>
          <w:szCs w:val="20"/>
        </w:rPr>
        <w:t>Il Capitolo 8 sulla concorrenza perfetta applica questa distinzione nell'analisi dell'equilibrio dell'impresa e del settore, mostrando come "l'entrata e l'uscita delle imprese" nel lungo periodo elimini i profitti economici. Questa progressione temporale è applicata sistematicamente nelle altre strutture di mercato.</w:t>
      </w:r>
    </w:p>
    <w:p w:rsidR="00662130" w:rsidRPr="00662130" w:rsidRDefault="00662130" w:rsidP="00662130">
      <w:pPr>
        <w:pStyle w:val="NormaleWeb"/>
        <w:spacing w:before="0" w:beforeAutospacing="0" w:after="0" w:afterAutospacing="0"/>
        <w:jc w:val="both"/>
        <w:rPr>
          <w:rFonts w:ascii="Segoe UI" w:hAnsi="Segoe UI" w:cs="Segoe UI"/>
          <w:sz w:val="20"/>
          <w:szCs w:val="20"/>
        </w:rPr>
      </w:pPr>
      <w:r w:rsidRPr="00662130">
        <w:rPr>
          <w:rFonts w:ascii="Segoe UI" w:hAnsi="Segoe UI" w:cs="Segoe UI"/>
          <w:sz w:val="20"/>
          <w:szCs w:val="20"/>
        </w:rPr>
        <w:t>A livello macroeconomico, la distinzione temporale è particolarmente sofisticata. Il Capitolo 20 sull'offerta aggregata distingue esplicitamente tra "funzione di offerta aggregata di breve periodo" e aggiustamenti di lungo periodo, mentre il Capitolo 21 presenta la "curva di Phillips verticale di lungo periodo" e la "curva di Phillips di breve periodo".</w:t>
      </w:r>
    </w:p>
    <w:p w:rsidR="00662130" w:rsidRDefault="00662130" w:rsidP="00662130">
      <w:pPr>
        <w:pStyle w:val="NormaleWeb"/>
        <w:spacing w:before="0" w:beforeAutospacing="0" w:after="0" w:afterAutospacing="0"/>
        <w:jc w:val="both"/>
        <w:rPr>
          <w:rFonts w:ascii="Segoe UI" w:hAnsi="Segoe UI" w:cs="Segoe UI"/>
          <w:sz w:val="20"/>
          <w:szCs w:val="20"/>
        </w:rPr>
      </w:pPr>
      <w:r w:rsidRPr="00662130">
        <w:rPr>
          <w:rFonts w:ascii="Segoe UI" w:hAnsi="Segoe UI" w:cs="Segoe UI"/>
          <w:sz w:val="20"/>
          <w:szCs w:val="20"/>
        </w:rPr>
        <w:t>Il Capitolo 26 sulle controversie macroeconomiche sviluppa esplicitamente il tema "il breve e il lungo periodo" come area di disaccordo teorico, fornendo agli studenti una comprensione critica delle diverse prospettive temporali nell'analisi macroeconomica.</w:t>
      </w:r>
    </w:p>
    <w:p w:rsidR="00662130" w:rsidRPr="00662130" w:rsidRDefault="00662130" w:rsidP="00662130">
      <w:pPr>
        <w:pStyle w:val="NormaleWeb"/>
        <w:spacing w:before="0" w:beforeAutospacing="0" w:after="0" w:afterAutospacing="0"/>
        <w:jc w:val="both"/>
        <w:rPr>
          <w:rFonts w:ascii="Segoe UI" w:hAnsi="Segoe UI" w:cs="Segoe UI"/>
          <w:sz w:val="20"/>
          <w:szCs w:val="20"/>
        </w:rPr>
      </w:pPr>
      <w:bookmarkStart w:id="0" w:name="_GoBack"/>
      <w:bookmarkEnd w:id="0"/>
    </w:p>
    <w:p w:rsidR="00662130" w:rsidRPr="00662130" w:rsidRDefault="00662130" w:rsidP="00662130">
      <w:pPr>
        <w:pStyle w:val="NormaleWeb"/>
        <w:spacing w:before="0" w:beforeAutospacing="0" w:after="0" w:afterAutospacing="0"/>
        <w:jc w:val="both"/>
        <w:rPr>
          <w:rFonts w:ascii="Segoe UI" w:hAnsi="Segoe UI" w:cs="Segoe UI"/>
          <w:sz w:val="20"/>
          <w:szCs w:val="20"/>
        </w:rPr>
      </w:pPr>
      <w:r w:rsidRPr="00662130">
        <w:rPr>
          <w:rStyle w:val="Enfasigrassetto"/>
          <w:rFonts w:ascii="Segoe UI" w:hAnsi="Segoe UI" w:cs="Segoe UI"/>
          <w:sz w:val="20"/>
          <w:szCs w:val="20"/>
          <w:bdr w:val="single" w:sz="2" w:space="0" w:color="auto" w:frame="1"/>
        </w:rPr>
        <w:t>Argomenti Non Standard e Innovazioni Didattiche</w:t>
      </w:r>
    </w:p>
    <w:p w:rsidR="00662130" w:rsidRPr="00662130" w:rsidRDefault="00662130" w:rsidP="00662130">
      <w:pPr>
        <w:pStyle w:val="NormaleWeb"/>
        <w:spacing w:before="0" w:beforeAutospacing="0" w:after="0" w:afterAutospacing="0"/>
        <w:jc w:val="both"/>
        <w:rPr>
          <w:rFonts w:ascii="Segoe UI" w:hAnsi="Segoe UI" w:cs="Segoe UI"/>
          <w:sz w:val="20"/>
          <w:szCs w:val="20"/>
        </w:rPr>
      </w:pPr>
      <w:r w:rsidRPr="00662130">
        <w:rPr>
          <w:rFonts w:ascii="Segoe UI" w:hAnsi="Segoe UI" w:cs="Segoe UI"/>
          <w:sz w:val="20"/>
          <w:szCs w:val="20"/>
        </w:rPr>
        <w:t xml:space="preserve">Il manuale presenta numerose innovazioni che lo distinguono dai testi tradizionali. Il Capitolo 6 su "Informazione, economia comportamentale e digitale" rappresenta un'innovazione significativa, integrando tre aree di frontiera della ricerca economica contemporanea in un singolo </w:t>
      </w:r>
      <w:proofErr w:type="spellStart"/>
      <w:r w:rsidRPr="00662130">
        <w:rPr>
          <w:rFonts w:ascii="Segoe UI" w:hAnsi="Segoe UI" w:cs="Segoe UI"/>
          <w:sz w:val="20"/>
          <w:szCs w:val="20"/>
        </w:rPr>
        <w:t>framework</w:t>
      </w:r>
      <w:proofErr w:type="spellEnd"/>
      <w:r w:rsidRPr="00662130">
        <w:rPr>
          <w:rFonts w:ascii="Segoe UI" w:hAnsi="Segoe UI" w:cs="Segoe UI"/>
          <w:sz w:val="20"/>
          <w:szCs w:val="20"/>
        </w:rPr>
        <w:t xml:space="preserve"> coerente.</w:t>
      </w:r>
    </w:p>
    <w:p w:rsidR="00662130" w:rsidRPr="00662130" w:rsidRDefault="00662130" w:rsidP="00662130">
      <w:pPr>
        <w:pStyle w:val="NormaleWeb"/>
        <w:spacing w:before="0" w:beforeAutospacing="0" w:after="0" w:afterAutospacing="0"/>
        <w:jc w:val="both"/>
        <w:rPr>
          <w:rFonts w:ascii="Segoe UI" w:hAnsi="Segoe UI" w:cs="Segoe UI"/>
          <w:sz w:val="20"/>
          <w:szCs w:val="20"/>
        </w:rPr>
      </w:pPr>
      <w:r w:rsidRPr="00662130">
        <w:rPr>
          <w:rFonts w:ascii="Segoe UI" w:hAnsi="Segoe UI" w:cs="Segoe UI"/>
          <w:sz w:val="20"/>
          <w:szCs w:val="20"/>
        </w:rPr>
        <w:t>La sezione sull'economia comportamentale include "teoria del prospetto", "effetto dotazione" e "razionalità limitata", mentre l'analisi dell'economia digitale presenta "prodotti informativi digitalizzati", "esternalità di rete" e "vendita di pacchetti di prodotti". Questa integrazione riflette l'importanza crescente di questi temi nell'economia contemporanea.</w:t>
      </w:r>
    </w:p>
    <w:p w:rsidR="00662130" w:rsidRPr="00662130" w:rsidRDefault="00662130" w:rsidP="00662130">
      <w:pPr>
        <w:pStyle w:val="NormaleWeb"/>
        <w:spacing w:before="0" w:beforeAutospacing="0" w:after="0" w:afterAutospacing="0"/>
        <w:jc w:val="both"/>
        <w:rPr>
          <w:rFonts w:ascii="Segoe UI" w:hAnsi="Segoe UI" w:cs="Segoe UI"/>
          <w:sz w:val="20"/>
          <w:szCs w:val="20"/>
        </w:rPr>
      </w:pPr>
      <w:r w:rsidRPr="00662130">
        <w:rPr>
          <w:rFonts w:ascii="Segoe UI" w:hAnsi="Segoe UI" w:cs="Segoe UI"/>
          <w:sz w:val="20"/>
          <w:szCs w:val="20"/>
        </w:rPr>
        <w:t>Il Capitolo 12 sull'economia ambientale presenta una trattazione particolarmente completa che include "protocollo di Kyoto", "Accordo di Parigi" e analisi economica dei cambiamenti climatici. L'integrazione di "prezzi contro quantità" nell'analisi delle politiche ambientali fornisce strumenti pratici per il policy design.</w:t>
      </w:r>
    </w:p>
    <w:p w:rsidR="00662130" w:rsidRPr="00662130" w:rsidRDefault="00662130" w:rsidP="00662130">
      <w:pPr>
        <w:pStyle w:val="NormaleWeb"/>
        <w:spacing w:before="0" w:beforeAutospacing="0" w:after="0" w:afterAutospacing="0"/>
        <w:jc w:val="both"/>
        <w:rPr>
          <w:rFonts w:ascii="Segoe UI" w:hAnsi="Segoe UI" w:cs="Segoe UI"/>
          <w:sz w:val="20"/>
          <w:szCs w:val="20"/>
        </w:rPr>
      </w:pPr>
      <w:r w:rsidRPr="00662130">
        <w:rPr>
          <w:rFonts w:ascii="Segoe UI" w:hAnsi="Segoe UI" w:cs="Segoe UI"/>
          <w:sz w:val="20"/>
          <w:szCs w:val="20"/>
        </w:rPr>
        <w:t xml:space="preserve">La Parte 5 sull'economia mondiale presenta un'analisi moderna che integra commercio internazionale, integrazione europea e globalizzazione. Il Capitolo 29 sull'integrazione europea include un'analisi approfondita della </w:t>
      </w:r>
      <w:proofErr w:type="spellStart"/>
      <w:r w:rsidRPr="00662130">
        <w:rPr>
          <w:rFonts w:ascii="Segoe UI" w:hAnsi="Segoe UI" w:cs="Segoe UI"/>
          <w:sz w:val="20"/>
          <w:szCs w:val="20"/>
        </w:rPr>
        <w:t>Brexit</w:t>
      </w:r>
      <w:proofErr w:type="spellEnd"/>
      <w:r w:rsidRPr="00662130">
        <w:rPr>
          <w:rFonts w:ascii="Segoe UI" w:hAnsi="Segoe UI" w:cs="Segoe UI"/>
          <w:sz w:val="20"/>
          <w:szCs w:val="20"/>
        </w:rPr>
        <w:t xml:space="preserve"> e del "NGEU: la risposta fiscale europea", fornendo agli studenti europei una comprensione specifica del contesto istituzionale contemporaneo.</w:t>
      </w:r>
    </w:p>
    <w:p w:rsidR="00662130" w:rsidRPr="00662130" w:rsidRDefault="00662130" w:rsidP="00662130">
      <w:pPr>
        <w:pStyle w:val="NormaleWeb"/>
        <w:spacing w:before="0" w:beforeAutospacing="0" w:after="0" w:afterAutospacing="0"/>
        <w:jc w:val="both"/>
        <w:rPr>
          <w:rFonts w:ascii="Segoe UI" w:hAnsi="Segoe UI" w:cs="Segoe UI"/>
          <w:sz w:val="20"/>
          <w:szCs w:val="20"/>
        </w:rPr>
      </w:pPr>
      <w:r w:rsidRPr="00662130">
        <w:rPr>
          <w:rFonts w:ascii="Segoe UI" w:hAnsi="Segoe UI" w:cs="Segoe UI"/>
          <w:sz w:val="20"/>
          <w:szCs w:val="20"/>
        </w:rPr>
        <w:t xml:space="preserve">Il Capitolo 30 sulla globalizzazione presenta un'analisi equilibrata di "benefici e costi della globalizzazione" e del dibattito "sovranità e </w:t>
      </w:r>
      <w:proofErr w:type="spellStart"/>
      <w:r w:rsidRPr="00662130">
        <w:rPr>
          <w:rFonts w:ascii="Segoe UI" w:hAnsi="Segoe UI" w:cs="Segoe UI"/>
          <w:sz w:val="20"/>
          <w:szCs w:val="20"/>
        </w:rPr>
        <w:t>sovranismo</w:t>
      </w:r>
      <w:proofErr w:type="spellEnd"/>
      <w:r w:rsidRPr="00662130">
        <w:rPr>
          <w:rFonts w:ascii="Segoe UI" w:hAnsi="Segoe UI" w:cs="Segoe UI"/>
          <w:sz w:val="20"/>
          <w:szCs w:val="20"/>
        </w:rPr>
        <w:t>", riflettendo le tensioni politiche ed economiche contemporanee. L'inclusione di accordi commerciali specifici (USMCA, ASEAN) fornisce una comprensione pratica dell'architettura commerciale globale.</w:t>
      </w:r>
    </w:p>
    <w:p w:rsidR="00662130" w:rsidRPr="00662130" w:rsidRDefault="00662130" w:rsidP="00662130">
      <w:pPr>
        <w:pStyle w:val="NormaleWeb"/>
        <w:spacing w:before="0" w:beforeAutospacing="0" w:after="0" w:afterAutospacing="0"/>
        <w:jc w:val="both"/>
        <w:rPr>
          <w:rFonts w:ascii="Segoe UI" w:hAnsi="Segoe UI" w:cs="Segoe UI"/>
          <w:sz w:val="20"/>
          <w:szCs w:val="20"/>
        </w:rPr>
      </w:pPr>
      <w:r w:rsidRPr="00662130">
        <w:rPr>
          <w:rFonts w:ascii="Segoe UI" w:hAnsi="Segoe UI" w:cs="Segoe UI"/>
          <w:sz w:val="20"/>
          <w:szCs w:val="20"/>
        </w:rPr>
        <w:t>L'approccio pedagogico si distingue per l'integrazione sistematica di eventi contemporanei, dalla pandemia COVID-19 alle politiche monetarie non convenzionali. Sezioni specifiche come "2020: l'anno della recessione mondiale", "Le politiche fiscali in epoca di pandemia" e "La politica monetaria in pandemia" dimostrano la capacità del testo di rimanere aggiornato con gli sviluppi più recenti.</w:t>
      </w:r>
    </w:p>
    <w:p w:rsidR="00662130" w:rsidRPr="00662130" w:rsidRDefault="00662130" w:rsidP="00662130">
      <w:pPr>
        <w:pStyle w:val="NormaleWeb"/>
        <w:spacing w:before="0" w:beforeAutospacing="0" w:after="0" w:afterAutospacing="0"/>
        <w:jc w:val="both"/>
        <w:rPr>
          <w:rFonts w:ascii="Segoe UI" w:hAnsi="Segoe UI" w:cs="Segoe UI"/>
          <w:sz w:val="20"/>
          <w:szCs w:val="20"/>
        </w:rPr>
      </w:pPr>
      <w:r w:rsidRPr="00662130">
        <w:rPr>
          <w:rFonts w:ascii="Segoe UI" w:hAnsi="Segoe UI" w:cs="Segoe UI"/>
          <w:sz w:val="20"/>
          <w:szCs w:val="20"/>
        </w:rPr>
        <w:t>La presenza di appendici tecniche dettagliate (modelli di oligopolio, teoria della scelta del consumatore, mercati del capitale) indica un approccio che combina accessibilità pedagogica con rigore formale, permettendo diversi livelli di approfondimento matematico.</w:t>
      </w:r>
    </w:p>
    <w:p w:rsidR="00662130" w:rsidRPr="00662130" w:rsidRDefault="00662130" w:rsidP="00662130">
      <w:pPr>
        <w:pStyle w:val="NormaleWeb"/>
        <w:spacing w:before="0" w:beforeAutospacing="0" w:after="0" w:afterAutospacing="0"/>
        <w:jc w:val="both"/>
        <w:rPr>
          <w:rFonts w:ascii="Segoe UI" w:hAnsi="Segoe UI" w:cs="Segoe UI"/>
          <w:sz w:val="20"/>
          <w:szCs w:val="20"/>
        </w:rPr>
      </w:pPr>
      <w:r w:rsidRPr="00662130">
        <w:rPr>
          <w:rFonts w:ascii="Segoe UI" w:hAnsi="Segoe UI" w:cs="Segoe UI"/>
          <w:sz w:val="20"/>
          <w:szCs w:val="20"/>
        </w:rPr>
        <w:lastRenderedPageBreak/>
        <w:t>L'integrazione di un eserciziario completo e la struttura sistematica dei riepiloghi riflettono un'attenzione particolare agli aspetti pratici dell'apprendimento, facilitando lo studio autonomo e la preparazione agli esami.</w:t>
      </w:r>
    </w:p>
    <w:p w:rsidR="00662130" w:rsidRPr="00662130" w:rsidRDefault="00662130" w:rsidP="00662130">
      <w:pPr>
        <w:pStyle w:val="NormaleWeb"/>
        <w:spacing w:before="0" w:beforeAutospacing="0" w:after="0" w:afterAutospacing="0"/>
        <w:jc w:val="both"/>
        <w:rPr>
          <w:rFonts w:ascii="Segoe UI" w:hAnsi="Segoe UI" w:cs="Segoe UI"/>
          <w:sz w:val="20"/>
          <w:szCs w:val="20"/>
        </w:rPr>
      </w:pPr>
      <w:r w:rsidRPr="00662130">
        <w:rPr>
          <w:rFonts w:ascii="Segoe UI" w:hAnsi="Segoe UI" w:cs="Segoe UI"/>
          <w:sz w:val="20"/>
          <w:szCs w:val="20"/>
        </w:rPr>
        <w:t>La sezione finale sulle controversie macroeconomiche (Capitolo 26) rappresenta un tentativo innovativo di fornire agli studenti una comprensione critica delle diverse scuole di pensiero, preparandoli a comprendere la natura evolutiva e dibattuta della teoria economica contemporanea.</w:t>
      </w:r>
    </w:p>
    <w:p w:rsidR="00662130" w:rsidRPr="00662130" w:rsidRDefault="00662130" w:rsidP="00662130">
      <w:pPr>
        <w:pStyle w:val="NormaleWeb"/>
        <w:spacing w:before="0" w:beforeAutospacing="0" w:after="0" w:afterAutospacing="0"/>
        <w:jc w:val="both"/>
        <w:rPr>
          <w:rFonts w:ascii="Segoe UI" w:hAnsi="Segoe UI" w:cs="Segoe UI"/>
          <w:sz w:val="20"/>
          <w:szCs w:val="20"/>
        </w:rPr>
      </w:pPr>
      <w:r w:rsidRPr="00662130">
        <w:rPr>
          <w:rFonts w:ascii="Segoe UI" w:hAnsi="Segoe UI" w:cs="Segoe UI"/>
          <w:sz w:val="20"/>
          <w:szCs w:val="20"/>
        </w:rPr>
        <w:t>L'attenzione particolare al contesto europeo e globale, evidente nei capitoli sull'integrazione europea e sulla globalizzazione, riflette l'impegno degli autori a fornire una formazione economica che sia rilevante per comprendere le sfide economiche del XXI secolo in una prospettiva internazionale e comparativa.</w:t>
      </w:r>
    </w:p>
    <w:p w:rsidR="00D24BFA" w:rsidRPr="00662130" w:rsidRDefault="00D24BFA" w:rsidP="00662130">
      <w:pPr>
        <w:spacing w:after="0" w:line="240" w:lineRule="auto"/>
        <w:jc w:val="both"/>
        <w:rPr>
          <w:rFonts w:ascii="Segoe UI" w:hAnsi="Segoe UI" w:cs="Segoe UI"/>
          <w:sz w:val="20"/>
          <w:szCs w:val="20"/>
        </w:rPr>
      </w:pPr>
    </w:p>
    <w:sectPr w:rsidR="00D24BFA" w:rsidRPr="0066213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Bodoni MT">
    <w:panose1 w:val="020706030806060202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130"/>
    <w:rsid w:val="00662130"/>
    <w:rsid w:val="00D24BF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D4EE80-E496-479A-8007-54523AB2A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odoni MT" w:eastAsiaTheme="minorHAnsi" w:hAnsi="Bodoni MT" w:cstheme="minorBidi"/>
        <w:sz w:val="24"/>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semiHidden/>
    <w:unhideWhenUsed/>
    <w:rsid w:val="00662130"/>
    <w:pPr>
      <w:spacing w:before="100" w:beforeAutospacing="1" w:after="100" w:afterAutospacing="1" w:line="240" w:lineRule="auto"/>
    </w:pPr>
    <w:rPr>
      <w:rFonts w:ascii="Times New Roman" w:eastAsia="Times New Roman" w:hAnsi="Times New Roman" w:cs="Times New Roman"/>
      <w:szCs w:val="24"/>
      <w:lang w:eastAsia="it-IT"/>
    </w:rPr>
  </w:style>
  <w:style w:type="character" w:styleId="Enfasigrassetto">
    <w:name w:val="Strong"/>
    <w:basedOn w:val="Carpredefinitoparagrafo"/>
    <w:uiPriority w:val="22"/>
    <w:qFormat/>
    <w:rsid w:val="0066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4196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1495</Words>
  <Characters>8523</Characters>
  <Application>Microsoft Office Word</Application>
  <DocSecurity>0</DocSecurity>
  <Lines>71</Lines>
  <Paragraphs>19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9999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Zanichelli</dc:creator>
  <cp:keywords/>
  <dc:description/>
  <cp:lastModifiedBy>Zanichelli</cp:lastModifiedBy>
  <cp:revision>1</cp:revision>
  <dcterms:created xsi:type="dcterms:W3CDTF">2025-09-27T07:43:00Z</dcterms:created>
  <dcterms:modified xsi:type="dcterms:W3CDTF">2025-09-27T07:45:00Z</dcterms:modified>
</cp:coreProperties>
</file>