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35F7" w:rsidRPr="006335F7" w:rsidRDefault="006335F7" w:rsidP="006335F7">
      <w:pPr>
        <w:pStyle w:val="NormaleWeb"/>
        <w:spacing w:before="0" w:beforeAutospacing="0" w:after="0" w:afterAutospacing="0"/>
        <w:jc w:val="center"/>
        <w:rPr>
          <w:rStyle w:val="Enfasigrassetto"/>
          <w:rFonts w:ascii="Segoe UI" w:hAnsi="Segoe UI" w:cs="Segoe UI"/>
          <w:u w:val="single"/>
          <w:bdr w:val="single" w:sz="2" w:space="0" w:color="auto" w:frame="1"/>
        </w:rPr>
      </w:pPr>
      <w:r w:rsidRPr="006335F7">
        <w:rPr>
          <w:rStyle w:val="Enfasigrassetto"/>
          <w:rFonts w:ascii="Segoe UI" w:hAnsi="Segoe UI" w:cs="Segoe UI"/>
          <w:u w:val="single"/>
          <w:bdr w:val="single" w:sz="2" w:space="0" w:color="auto" w:frame="1"/>
        </w:rPr>
        <w:t>REPORT ANALITICO: "ISTITUZIONI DI ECONOMIA" - BERTOLA &amp; LO PRETE</w:t>
      </w:r>
    </w:p>
    <w:p w:rsidR="006335F7" w:rsidRPr="006335F7" w:rsidRDefault="006335F7" w:rsidP="006335F7">
      <w:pPr>
        <w:pStyle w:val="NormaleWeb"/>
        <w:spacing w:before="0" w:beforeAutospacing="0" w:after="0" w:afterAutospacing="0"/>
        <w:jc w:val="both"/>
        <w:rPr>
          <w:rFonts w:ascii="Segoe UI" w:hAnsi="Segoe UI" w:cs="Segoe UI"/>
          <w:sz w:val="20"/>
          <w:szCs w:val="20"/>
        </w:rPr>
      </w:pP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Style w:val="Enfasigrassetto"/>
          <w:rFonts w:ascii="Segoe UI" w:hAnsi="Segoe UI" w:cs="Segoe UI"/>
          <w:sz w:val="20"/>
          <w:szCs w:val="20"/>
          <w:bdr w:val="single" w:sz="2" w:space="0" w:color="auto" w:frame="1"/>
        </w:rPr>
        <w:t>Inquadramento Generale dell'Opera</w:t>
      </w: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Il manuale di Bertola e Lo Prete rappresenta un approccio moderno e sistematico all'insegnamento dell'economia politica di base, caratterizzato da una struttura pedagogica progressiva che integra efficacemente microeconomia e macroeconomia. L'opera si distingue per la sua impostazione metodologica rigorosa, evidente già dal primo capitolo dedicato ai "Principi e metodi dell'analisi economica", che stabilisce le fondamenta epistemologiche della disciplina prima di procedere con l'analisi dei singoli mercati.</w:t>
      </w:r>
    </w:p>
    <w:p w:rsid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La struttura quadripartita del testo rivela una strategia didattica che procede dal generale al particolare, partendo dai concetti fondamentali per arrivare alle applicazioni macroeconomiche più complesse. Questa progressione consente agli studenti di acquisire gradualmente gli strumenti analitici necessari per comprendere i fenomeni economici a diversi livelli di aggregazione.</w:t>
      </w:r>
    </w:p>
    <w:p w:rsidR="006335F7" w:rsidRPr="006335F7" w:rsidRDefault="006335F7" w:rsidP="006335F7">
      <w:pPr>
        <w:pStyle w:val="NormaleWeb"/>
        <w:spacing w:before="0" w:beforeAutospacing="0" w:after="0" w:afterAutospacing="0"/>
        <w:jc w:val="both"/>
        <w:rPr>
          <w:rFonts w:ascii="Segoe UI" w:hAnsi="Segoe UI" w:cs="Segoe UI"/>
          <w:sz w:val="20"/>
          <w:szCs w:val="20"/>
        </w:rPr>
      </w:pP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Style w:val="Enfasigrassetto"/>
          <w:rFonts w:ascii="Segoe UI" w:hAnsi="Segoe UI" w:cs="Segoe UI"/>
          <w:sz w:val="20"/>
          <w:szCs w:val="20"/>
          <w:bdr w:val="single" w:sz="2" w:space="0" w:color="auto" w:frame="1"/>
        </w:rPr>
        <w:t>Scuole di Pensiero Economiche di Riferimento</w:t>
      </w: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 xml:space="preserve">Dall'analisi dell'indice emerge chiaramente un orientamento prevalentemente neoclassico, con significative aperture verso approcci più moderni. La struttura del manuale riflette la tradizione </w:t>
      </w:r>
      <w:proofErr w:type="spellStart"/>
      <w:r w:rsidRPr="006335F7">
        <w:rPr>
          <w:rFonts w:ascii="Segoe UI" w:hAnsi="Segoe UI" w:cs="Segoe UI"/>
          <w:sz w:val="20"/>
          <w:szCs w:val="20"/>
        </w:rPr>
        <w:t>marshalliana</w:t>
      </w:r>
      <w:proofErr w:type="spellEnd"/>
      <w:r w:rsidRPr="006335F7">
        <w:rPr>
          <w:rFonts w:ascii="Segoe UI" w:hAnsi="Segoe UI" w:cs="Segoe UI"/>
          <w:sz w:val="20"/>
          <w:szCs w:val="20"/>
        </w:rPr>
        <w:t xml:space="preserve"> nell'organizzazione dei contenuti microeconomici, con la classica sequenza domanda-offerta-equilibrio che caratterizza il capitolo II. Tuttavia, l'inclusione del capitolo IX su "Rischio, incertezza e informazione" indica un'importante integrazione con la teoria dell'informazione e l'economia comportamentale contemporanea.</w:t>
      </w:r>
    </w:p>
    <w:p w:rsid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La presenza di argomenti come "Speculazione e finanza" nel capitolo XI suggerisce un'apertura verso la finanza comportamentale e la teoria dei mercati efficienti. Sul fronte macroeconomico, la struttura dei capitoli XIII e XIV indica un approccio che integra elementi keynesiani (attraverso l'analisi dei flussi di spesa e delle politiche di stabilizzazione) con modelli di crescita più recenti, probabilmente includendo contributi della teoria della crescita endogena.</w:t>
      </w:r>
    </w:p>
    <w:p w:rsidR="006335F7" w:rsidRPr="006335F7" w:rsidRDefault="006335F7" w:rsidP="006335F7">
      <w:pPr>
        <w:pStyle w:val="NormaleWeb"/>
        <w:spacing w:before="0" w:beforeAutospacing="0" w:after="0" w:afterAutospacing="0"/>
        <w:jc w:val="both"/>
        <w:rPr>
          <w:rFonts w:ascii="Segoe UI" w:hAnsi="Segoe UI" w:cs="Segoe UI"/>
          <w:sz w:val="20"/>
          <w:szCs w:val="20"/>
        </w:rPr>
      </w:pP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Style w:val="Enfasigrassetto"/>
          <w:rFonts w:ascii="Segoe UI" w:hAnsi="Segoe UI" w:cs="Segoe UI"/>
          <w:sz w:val="20"/>
          <w:szCs w:val="20"/>
          <w:bdr w:val="single" w:sz="2" w:space="0" w:color="auto" w:frame="1"/>
        </w:rPr>
        <w:t>Modelli Economici Micro e Macroeconomici</w:t>
      </w: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 xml:space="preserve">A livello microeconomico, il testo presenta una progressione completa dei modelli standard. Il capitolo III introduce il modello di scelta del consumatore basato su vincoli di bilancio e curve di indifferenza, mentre il capitolo IV sviluppa le implicazioni aggregate attraverso l'analisi degli effetti di reddito e sostituzione. La presenza del "Surplus del consumatore" indica l'utilizzo del modello </w:t>
      </w:r>
      <w:proofErr w:type="spellStart"/>
      <w:r w:rsidRPr="006335F7">
        <w:rPr>
          <w:rFonts w:ascii="Segoe UI" w:hAnsi="Segoe UI" w:cs="Segoe UI"/>
          <w:sz w:val="20"/>
          <w:szCs w:val="20"/>
        </w:rPr>
        <w:t>marshalliano</w:t>
      </w:r>
      <w:proofErr w:type="spellEnd"/>
      <w:r w:rsidRPr="006335F7">
        <w:rPr>
          <w:rFonts w:ascii="Segoe UI" w:hAnsi="Segoe UI" w:cs="Segoe UI"/>
          <w:sz w:val="20"/>
          <w:szCs w:val="20"/>
        </w:rPr>
        <w:t xml:space="preserve"> di benessere.</w:t>
      </w: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Sul fronte produttivo, i capitoli V e VI presentano la teoria dell'impresa attraverso funzioni di produzione e di costo, con particolare attenzione alla distinzione temporale breve-lungo periodo. Il capitolo VII sviluppa il modello di concorrenza perfetta con analisi dell'equilibrio parziale e del benessere sociale, mentre il capitolo VIII affronta i modelli di concorrenza imperfetta, probabilmente includendo monopolio, oligopolio e concorrenza monopolistica.</w:t>
      </w:r>
    </w:p>
    <w:p w:rsid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 xml:space="preserve">La sezione macroeconomica rivela un approccio sofisticato che integra il modello IS-LM (evidente dalla struttura del capitolo XIII che tratta separatamente mercato dei beni e mercato monetario per poi analizzarne l'equilibrio simultaneo) con modelli più avanzati. Il capitolo XIV suggerisce l'inclusione di modelli di ciclo economico e di crescita, probabilmente includendo il modello di </w:t>
      </w:r>
      <w:proofErr w:type="spellStart"/>
      <w:r w:rsidRPr="006335F7">
        <w:rPr>
          <w:rFonts w:ascii="Segoe UI" w:hAnsi="Segoe UI" w:cs="Segoe UI"/>
          <w:sz w:val="20"/>
          <w:szCs w:val="20"/>
        </w:rPr>
        <w:t>Solow</w:t>
      </w:r>
      <w:proofErr w:type="spellEnd"/>
      <w:r w:rsidRPr="006335F7">
        <w:rPr>
          <w:rFonts w:ascii="Segoe UI" w:hAnsi="Segoe UI" w:cs="Segoe UI"/>
          <w:sz w:val="20"/>
          <w:szCs w:val="20"/>
        </w:rPr>
        <w:t xml:space="preserve"> e sue estensioni.</w:t>
      </w:r>
    </w:p>
    <w:p w:rsidR="006335F7" w:rsidRPr="006335F7" w:rsidRDefault="006335F7" w:rsidP="006335F7">
      <w:pPr>
        <w:pStyle w:val="NormaleWeb"/>
        <w:spacing w:before="0" w:beforeAutospacing="0" w:after="0" w:afterAutospacing="0"/>
        <w:jc w:val="both"/>
        <w:rPr>
          <w:rFonts w:ascii="Segoe UI" w:hAnsi="Segoe UI" w:cs="Segoe UI"/>
          <w:sz w:val="20"/>
          <w:szCs w:val="20"/>
        </w:rPr>
      </w:pP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Style w:val="Enfasigrassetto"/>
          <w:rFonts w:ascii="Segoe UI" w:hAnsi="Segoe UI" w:cs="Segoe UI"/>
          <w:sz w:val="20"/>
          <w:szCs w:val="20"/>
          <w:bdr w:val="single" w:sz="2" w:space="0" w:color="auto" w:frame="1"/>
        </w:rPr>
        <w:t>Modelli di Crescita Economica</w:t>
      </w: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L'analisi dei modelli di crescita appare concentrata principalmente nel capitolo XIV, dove si affronta specificamente la "Crescita economica" come argomento autonomo. Questa collocazione, dopo l'analisi dei cicli e delle crisi, suggerisce un approccio che distingue chiaramente tra fluttuazioni di breve periodo e tendenze di lungo periodo.</w:t>
      </w:r>
    </w:p>
    <w:p w:rsid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La presenza nel capitolo XI di argomenti come "Possibilità produttive" e "Tempo e risparmio" indica che gli autori introducono i fondamenti della teoria della crescita già a livello microeconomico, probabilmente attraverso l'analisi delle scelte intertemporali e dell'accumulazione di capitale. Questo approccio permette di collegare le decisioni individuali di risparmio e investimento con i processi aggregati di crescita economica.</w:t>
      </w:r>
    </w:p>
    <w:p w:rsidR="006335F7" w:rsidRPr="006335F7" w:rsidRDefault="006335F7" w:rsidP="006335F7">
      <w:pPr>
        <w:pStyle w:val="NormaleWeb"/>
        <w:spacing w:before="0" w:beforeAutospacing="0" w:after="0" w:afterAutospacing="0"/>
        <w:jc w:val="both"/>
        <w:rPr>
          <w:rFonts w:ascii="Segoe UI" w:hAnsi="Segoe UI" w:cs="Segoe UI"/>
          <w:sz w:val="20"/>
          <w:szCs w:val="20"/>
        </w:rPr>
      </w:pP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Style w:val="Enfasigrassetto"/>
          <w:rFonts w:ascii="Segoe UI" w:hAnsi="Segoe UI" w:cs="Segoe UI"/>
          <w:sz w:val="20"/>
          <w:szCs w:val="20"/>
          <w:bdr w:val="single" w:sz="2" w:space="0" w:color="auto" w:frame="1"/>
        </w:rPr>
        <w:t>Trattazione Temporale: Breve e Lungo Periodo</w:t>
      </w: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 xml:space="preserve">La sequenza temporale adottata dagli autori segue un pattern interessante e pedagogicamente efficace. A livello microeconomico, il capitolo V introduce esplicitamente la distinzione "Breve e lungo periodo" nel </w:t>
      </w:r>
      <w:r w:rsidRPr="006335F7">
        <w:rPr>
          <w:rFonts w:ascii="Segoe UI" w:hAnsi="Segoe UI" w:cs="Segoe UI"/>
          <w:sz w:val="20"/>
          <w:szCs w:val="20"/>
        </w:rPr>
        <w:lastRenderedPageBreak/>
        <w:t xml:space="preserve">contesto della teoria della produzione, stabilendo così il </w:t>
      </w:r>
      <w:proofErr w:type="spellStart"/>
      <w:r w:rsidRPr="006335F7">
        <w:rPr>
          <w:rFonts w:ascii="Segoe UI" w:hAnsi="Segoe UI" w:cs="Segoe UI"/>
          <w:sz w:val="20"/>
          <w:szCs w:val="20"/>
        </w:rPr>
        <w:t>framework</w:t>
      </w:r>
      <w:proofErr w:type="spellEnd"/>
      <w:r w:rsidRPr="006335F7">
        <w:rPr>
          <w:rFonts w:ascii="Segoe UI" w:hAnsi="Segoe UI" w:cs="Segoe UI"/>
          <w:sz w:val="20"/>
          <w:szCs w:val="20"/>
        </w:rPr>
        <w:t xml:space="preserve"> concettuale che verrà poi applicato sistematicamente.</w:t>
      </w:r>
    </w:p>
    <w:p w:rsid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La progressione dal breve al lungo periodo è evidente nella struttura dei capitoli VI e VII, dove si analizza prima il comportamento dell'impresa in condizioni date (breve periodo) e poi l'equilibrio di mercato con possibilità di entrata e uscita (lungo periodo). Questa sequenza si ripete a livello macroeconomico, dove il capitolo XIII affronta le politiche di stabilizzazione (tipicamente di breve periodo) mentre il capitolo XIV si concentra su crescita e sviluppo di lungo periodo.</w:t>
      </w:r>
    </w:p>
    <w:p w:rsidR="006335F7" w:rsidRPr="006335F7" w:rsidRDefault="006335F7" w:rsidP="006335F7">
      <w:pPr>
        <w:pStyle w:val="NormaleWeb"/>
        <w:spacing w:before="0" w:beforeAutospacing="0" w:after="0" w:afterAutospacing="0"/>
        <w:jc w:val="both"/>
        <w:rPr>
          <w:rFonts w:ascii="Segoe UI" w:hAnsi="Segoe UI" w:cs="Segoe UI"/>
          <w:sz w:val="20"/>
          <w:szCs w:val="20"/>
        </w:rPr>
      </w:pP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Style w:val="Enfasigrassetto"/>
          <w:rFonts w:ascii="Segoe UI" w:hAnsi="Segoe UI" w:cs="Segoe UI"/>
          <w:sz w:val="20"/>
          <w:szCs w:val="20"/>
          <w:bdr w:val="single" w:sz="2" w:space="0" w:color="auto" w:frame="1"/>
        </w:rPr>
        <w:t>Argomenti Non Standard e Innovazioni Didattiche</w:t>
      </w: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Il manuale presenta diversi elementi che lo distinguono dai tradizionali testi di economia politica di base. Il capitolo IX su "Rischio, incertezza e informazione" rappresenta un'innovazione significativa, introducendo concetti tipicamente riservati a corsi più avanzati. Questo capitolo probabilmente include teoria dei giochi, selezione avversa, azzardo morale e altri fallimenti informativi del mercato.</w:t>
      </w: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La sezione su "Speculazione e finanza" nel capitolo XI è particolarmente innovativa per un testo introduttivo, suggerendo un'integrazione tra economia reale e finanziaria spesso assente nei manuali di base. Questo approccio riflette l'importanza crescente dei mercati finanziari nell'economia contemporanea.</w:t>
      </w: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 xml:space="preserve">Nel capitolo XIV, la presenza di "Crisi finanziaria e politica monetaria non convenzionale" indica un aggiornamento del testo alle problematiche economiche più recenti, probabilmente includendo l'analisi della crisi del 2008 e delle politiche di quantitative </w:t>
      </w:r>
      <w:proofErr w:type="spellStart"/>
      <w:r w:rsidRPr="006335F7">
        <w:rPr>
          <w:rFonts w:ascii="Segoe UI" w:hAnsi="Segoe UI" w:cs="Segoe UI"/>
          <w:sz w:val="20"/>
          <w:szCs w:val="20"/>
        </w:rPr>
        <w:t>easing</w:t>
      </w:r>
      <w:proofErr w:type="spellEnd"/>
      <w:r w:rsidRPr="006335F7">
        <w:rPr>
          <w:rFonts w:ascii="Segoe UI" w:hAnsi="Segoe UI" w:cs="Segoe UI"/>
          <w:sz w:val="20"/>
          <w:szCs w:val="20"/>
        </w:rPr>
        <w:t>. Questo elemento conferisce al manuale una rilevanza particolare nel contesto post-crisi.</w:t>
      </w: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Il capitolo X su "Mercato e intervento pubblico" presenta una trattazione equilibrata che include sia le giustificazioni teoriche dell'intervento pubblico sia i suoi limiti ("Anche lo Stato ha problemi"), offrendo una prospettiva bilanciata sui fallimenti del mercato e del governo.</w:t>
      </w:r>
    </w:p>
    <w:p w:rsidR="006335F7" w:rsidRPr="006335F7" w:rsidRDefault="006335F7" w:rsidP="006335F7">
      <w:pPr>
        <w:pStyle w:val="NormaleWeb"/>
        <w:spacing w:before="0" w:beforeAutospacing="0" w:after="0" w:afterAutospacing="0"/>
        <w:jc w:val="both"/>
        <w:rPr>
          <w:rFonts w:ascii="Segoe UI" w:hAnsi="Segoe UI" w:cs="Segoe UI"/>
          <w:sz w:val="20"/>
          <w:szCs w:val="20"/>
        </w:rPr>
      </w:pPr>
      <w:r w:rsidRPr="006335F7">
        <w:rPr>
          <w:rFonts w:ascii="Segoe UI" w:hAnsi="Segoe UI" w:cs="Segoe UI"/>
          <w:sz w:val="20"/>
          <w:szCs w:val="20"/>
        </w:rPr>
        <w:t>La presenza di un'appendice e di un indice analitico dettagliato suggerisce un'attenzione particolare agli aspetti pratici dell'apprendimento, fornendo agli studenti strumenti di consultazione e approfondimento che facilitano lo studio autonomo e la preparazione agli esami.</w:t>
      </w:r>
    </w:p>
    <w:p w:rsidR="00D24BFA" w:rsidRPr="006335F7" w:rsidRDefault="00D24BFA" w:rsidP="006335F7">
      <w:pPr>
        <w:spacing w:after="0" w:line="240" w:lineRule="auto"/>
      </w:pPr>
      <w:bookmarkStart w:id="0" w:name="_GoBack"/>
      <w:bookmarkEnd w:id="0"/>
    </w:p>
    <w:sectPr w:rsidR="00D24BFA" w:rsidRPr="006335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5F7"/>
    <w:rsid w:val="006335F7"/>
    <w:rsid w:val="00D24B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165A30-4195-4D03-9BBD-11A42E05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6335F7"/>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6335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341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1005</Words>
  <Characters>5732</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2025-09-27T06:40:00Z</dcterms:created>
  <dcterms:modified xsi:type="dcterms:W3CDTF">2025-09-27T06:44:00Z</dcterms:modified>
</cp:coreProperties>
</file>