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409C" w:rsidRPr="00F9409C" w:rsidRDefault="00F9409C" w:rsidP="00F9409C">
      <w:pPr>
        <w:pStyle w:val="NormaleWeb"/>
        <w:spacing w:before="0" w:beforeAutospacing="0" w:after="0" w:afterAutospacing="0"/>
        <w:jc w:val="center"/>
        <w:rPr>
          <w:rStyle w:val="Enfasigrassetto"/>
          <w:rFonts w:ascii="Segoe UI" w:hAnsi="Segoe UI" w:cs="Segoe UI"/>
          <w:bdr w:val="single" w:sz="2" w:space="0" w:color="auto" w:frame="1"/>
        </w:rPr>
      </w:pPr>
      <w:r w:rsidRPr="00F9409C">
        <w:rPr>
          <w:rStyle w:val="Enfasigrassetto"/>
          <w:rFonts w:ascii="Segoe UI" w:hAnsi="Segoe UI" w:cs="Segoe UI"/>
          <w:bdr w:val="single" w:sz="2" w:space="0" w:color="auto" w:frame="1"/>
        </w:rPr>
        <w:t xml:space="preserve">REPORT ANALITICO: "L'ESSENZIALE DI ECONOMIA" </w:t>
      </w:r>
      <w:r w:rsidRPr="00F9409C">
        <w:rPr>
          <w:rStyle w:val="Enfasigrassetto"/>
          <w:rFonts w:ascii="Segoe UI" w:hAnsi="Segoe UI" w:cs="Segoe UI"/>
          <w:bdr w:val="single" w:sz="2" w:space="0" w:color="auto" w:frame="1"/>
        </w:rPr>
        <w:t>–</w:t>
      </w:r>
      <w:r w:rsidRPr="00F9409C">
        <w:rPr>
          <w:rStyle w:val="Enfasigrassetto"/>
          <w:rFonts w:ascii="Segoe UI" w:hAnsi="Segoe UI" w:cs="Segoe UI"/>
          <w:bdr w:val="single" w:sz="2" w:space="0" w:color="auto" w:frame="1"/>
        </w:rPr>
        <w:t xml:space="preserve"> BRU</w:t>
      </w:r>
      <w:r w:rsidRPr="00F9409C">
        <w:rPr>
          <w:rStyle w:val="Enfasigrassetto"/>
          <w:rFonts w:ascii="Segoe UI" w:hAnsi="Segoe UI" w:cs="Segoe UI"/>
          <w:bdr w:val="single" w:sz="2" w:space="0" w:color="auto" w:frame="1"/>
        </w:rPr>
        <w:t>E e al.</w:t>
      </w:r>
    </w:p>
    <w:p w:rsidR="00F9409C" w:rsidRDefault="00F9409C" w:rsidP="00F9409C">
      <w:pPr>
        <w:pStyle w:val="NormaleWeb"/>
        <w:spacing w:before="0" w:beforeAutospacing="0" w:after="0" w:afterAutospacing="0"/>
        <w:jc w:val="both"/>
        <w:rPr>
          <w:rStyle w:val="Enfasigrassetto"/>
          <w:rFonts w:ascii="Segoe UI" w:hAnsi="Segoe UI" w:cs="Segoe UI"/>
          <w:sz w:val="20"/>
          <w:szCs w:val="20"/>
          <w:bdr w:val="single" w:sz="2" w:space="0" w:color="auto" w:frame="1"/>
        </w:rPr>
      </w:pPr>
      <w:r w:rsidRPr="00F9409C">
        <w:rPr>
          <w:rStyle w:val="Enfasigrassetto"/>
          <w:rFonts w:ascii="Segoe UI" w:hAnsi="Segoe UI" w:cs="Segoe UI"/>
          <w:sz w:val="20"/>
          <w:szCs w:val="20"/>
          <w:bdr w:val="single" w:sz="2" w:space="0" w:color="auto" w:frame="1"/>
        </w:rPr>
        <w:t xml:space="preserve"> </w:t>
      </w:r>
    </w:p>
    <w:p w:rsidR="00F9409C" w:rsidRPr="00F9409C" w:rsidRDefault="00F9409C" w:rsidP="00F9409C">
      <w:pPr>
        <w:pStyle w:val="NormaleWeb"/>
        <w:spacing w:before="0" w:beforeAutospacing="0" w:after="0" w:afterAutospacing="0"/>
        <w:jc w:val="both"/>
        <w:rPr>
          <w:rFonts w:ascii="Segoe UI" w:hAnsi="Segoe UI" w:cs="Segoe UI"/>
          <w:sz w:val="20"/>
          <w:szCs w:val="20"/>
        </w:rPr>
      </w:pPr>
      <w:r w:rsidRPr="00F9409C">
        <w:rPr>
          <w:rStyle w:val="Enfasigrassetto"/>
          <w:rFonts w:ascii="Segoe UI" w:hAnsi="Segoe UI" w:cs="Segoe UI"/>
          <w:sz w:val="20"/>
          <w:szCs w:val="20"/>
          <w:bdr w:val="single" w:sz="2" w:space="0" w:color="auto" w:frame="1"/>
        </w:rPr>
        <w:t>Inquadramento Generale dell'Opera</w:t>
      </w:r>
    </w:p>
    <w:p w:rsidR="00F9409C" w:rsidRPr="00F9409C" w:rsidRDefault="00F9409C" w:rsidP="00F9409C">
      <w:pPr>
        <w:pStyle w:val="NormaleWeb"/>
        <w:spacing w:before="0" w:beforeAutospacing="0" w:after="0" w:afterAutospacing="0"/>
        <w:jc w:val="both"/>
        <w:rPr>
          <w:rFonts w:ascii="Segoe UI" w:hAnsi="Segoe UI" w:cs="Segoe UI"/>
          <w:sz w:val="20"/>
          <w:szCs w:val="20"/>
        </w:rPr>
      </w:pPr>
      <w:r w:rsidRPr="00F9409C">
        <w:rPr>
          <w:rFonts w:ascii="Segoe UI" w:hAnsi="Segoe UI" w:cs="Segoe UI"/>
          <w:sz w:val="20"/>
          <w:szCs w:val="20"/>
        </w:rPr>
        <w:t xml:space="preserve">Il manuale di </w:t>
      </w:r>
      <w:proofErr w:type="spellStart"/>
      <w:r w:rsidRPr="00F9409C">
        <w:rPr>
          <w:rFonts w:ascii="Segoe UI" w:hAnsi="Segoe UI" w:cs="Segoe UI"/>
          <w:sz w:val="20"/>
          <w:szCs w:val="20"/>
        </w:rPr>
        <w:t>Brue</w:t>
      </w:r>
      <w:proofErr w:type="spellEnd"/>
      <w:r w:rsidRPr="00F9409C">
        <w:rPr>
          <w:rFonts w:ascii="Segoe UI" w:hAnsi="Segoe UI" w:cs="Segoe UI"/>
          <w:sz w:val="20"/>
          <w:szCs w:val="20"/>
        </w:rPr>
        <w:t xml:space="preserve">, </w:t>
      </w:r>
      <w:proofErr w:type="spellStart"/>
      <w:r w:rsidRPr="00F9409C">
        <w:rPr>
          <w:rFonts w:ascii="Segoe UI" w:hAnsi="Segoe UI" w:cs="Segoe UI"/>
          <w:sz w:val="20"/>
          <w:szCs w:val="20"/>
        </w:rPr>
        <w:t>McConnell</w:t>
      </w:r>
      <w:proofErr w:type="spellEnd"/>
      <w:r w:rsidRPr="00F9409C">
        <w:rPr>
          <w:rFonts w:ascii="Segoe UI" w:hAnsi="Segoe UI" w:cs="Segoe UI"/>
          <w:sz w:val="20"/>
          <w:szCs w:val="20"/>
        </w:rPr>
        <w:t xml:space="preserve"> e </w:t>
      </w:r>
      <w:proofErr w:type="spellStart"/>
      <w:r w:rsidRPr="00F9409C">
        <w:rPr>
          <w:rFonts w:ascii="Segoe UI" w:hAnsi="Segoe UI" w:cs="Segoe UI"/>
          <w:sz w:val="20"/>
          <w:szCs w:val="20"/>
        </w:rPr>
        <w:t>Flynn</w:t>
      </w:r>
      <w:proofErr w:type="spellEnd"/>
      <w:r w:rsidRPr="00F9409C">
        <w:rPr>
          <w:rFonts w:ascii="Segoe UI" w:hAnsi="Segoe UI" w:cs="Segoe UI"/>
          <w:sz w:val="20"/>
          <w:szCs w:val="20"/>
        </w:rPr>
        <w:t xml:space="preserve"> rappresenta un approccio pragmatico e applicativo all'insegnamento dell'economia, caratterizzato da una forte enfasi sull'utilità pratica e sulla comprensione intuitiva dei fenomeni economici. La struttura </w:t>
      </w:r>
      <w:proofErr w:type="spellStart"/>
      <w:r w:rsidRPr="00F9409C">
        <w:rPr>
          <w:rFonts w:ascii="Segoe UI" w:hAnsi="Segoe UI" w:cs="Segoe UI"/>
          <w:sz w:val="20"/>
          <w:szCs w:val="20"/>
        </w:rPr>
        <w:t>settepartita</w:t>
      </w:r>
      <w:proofErr w:type="spellEnd"/>
      <w:r w:rsidRPr="00F9409C">
        <w:rPr>
          <w:rFonts w:ascii="Segoe UI" w:hAnsi="Segoe UI" w:cs="Segoe UI"/>
          <w:sz w:val="20"/>
          <w:szCs w:val="20"/>
        </w:rPr>
        <w:t xml:space="preserve"> dell'opera rivela una filosofia didattica che privilegia la progressione graduale dalla comprensione dei principi fondamentali alle applicazioni più complesse, con particolare attenzione agli aspetti applicativi e alle evidenze empiriche internazionali.</w:t>
      </w:r>
    </w:p>
    <w:p w:rsidR="00F9409C" w:rsidRPr="00F9409C" w:rsidRDefault="00F9409C" w:rsidP="00F9409C">
      <w:pPr>
        <w:pStyle w:val="NormaleWeb"/>
        <w:spacing w:before="0" w:beforeAutospacing="0" w:after="0" w:afterAutospacing="0"/>
        <w:jc w:val="both"/>
        <w:rPr>
          <w:rFonts w:ascii="Segoe UI" w:hAnsi="Segoe UI" w:cs="Segoe UI"/>
          <w:sz w:val="20"/>
          <w:szCs w:val="20"/>
        </w:rPr>
      </w:pPr>
      <w:r w:rsidRPr="00F9409C">
        <w:rPr>
          <w:rFonts w:ascii="Segoe UI" w:hAnsi="Segoe UI" w:cs="Segoe UI"/>
          <w:sz w:val="20"/>
          <w:szCs w:val="20"/>
        </w:rPr>
        <w:t xml:space="preserve">L'architettura del testo è costruita attorno a una logica pedagogica molto chiara: si parte dai fondamenti metodologici (Parte 1), si procede con l'analisi microeconomica dei mercati (Parti 2-3), si sviluppa il </w:t>
      </w:r>
      <w:proofErr w:type="spellStart"/>
      <w:r w:rsidRPr="00F9409C">
        <w:rPr>
          <w:rFonts w:ascii="Segoe UI" w:hAnsi="Segoe UI" w:cs="Segoe UI"/>
          <w:sz w:val="20"/>
          <w:szCs w:val="20"/>
        </w:rPr>
        <w:t>framework</w:t>
      </w:r>
      <w:proofErr w:type="spellEnd"/>
      <w:r w:rsidRPr="00F9409C">
        <w:rPr>
          <w:rFonts w:ascii="Segoe UI" w:hAnsi="Segoe UI" w:cs="Segoe UI"/>
          <w:sz w:val="20"/>
          <w:szCs w:val="20"/>
        </w:rPr>
        <w:t xml:space="preserve"> macroeconomico (Parte 4), si approfondiscono gli aspetti monetari e finanziari (Parte 5), si analizza la dimensione internazionale (Parte 6), per concludere con i mercati delle risorse e le problematiche distributive (Parte 7).</w:t>
      </w:r>
    </w:p>
    <w:p w:rsidR="00F9409C" w:rsidRDefault="00F9409C" w:rsidP="00F9409C">
      <w:pPr>
        <w:pStyle w:val="NormaleWeb"/>
        <w:spacing w:before="0" w:beforeAutospacing="0" w:after="0" w:afterAutospacing="0"/>
        <w:jc w:val="both"/>
        <w:rPr>
          <w:rFonts w:ascii="Segoe UI" w:hAnsi="Segoe UI" w:cs="Segoe UI"/>
          <w:sz w:val="20"/>
          <w:szCs w:val="20"/>
        </w:rPr>
      </w:pPr>
      <w:r w:rsidRPr="00F9409C">
        <w:rPr>
          <w:rFonts w:ascii="Segoe UI" w:hAnsi="Segoe UI" w:cs="Segoe UI"/>
          <w:sz w:val="20"/>
          <w:szCs w:val="20"/>
        </w:rPr>
        <w:t>La presenza sistematica di sezioni dedicate come "Analisi Applicata", "Focus sul Concetto", "Istantanea dal Mondo" e "Confronto per Immagini" indica un approccio didattico innovativo che integra teoria ed evidenza empirica, rendendo i concetti economici più accessibili e rilevanti per gli studenti.</w:t>
      </w:r>
    </w:p>
    <w:p w:rsidR="00F9409C" w:rsidRPr="00F9409C" w:rsidRDefault="00F9409C" w:rsidP="00F9409C">
      <w:pPr>
        <w:pStyle w:val="NormaleWeb"/>
        <w:spacing w:before="0" w:beforeAutospacing="0" w:after="0" w:afterAutospacing="0"/>
        <w:jc w:val="both"/>
        <w:rPr>
          <w:rFonts w:ascii="Segoe UI" w:hAnsi="Segoe UI" w:cs="Segoe UI"/>
          <w:sz w:val="20"/>
          <w:szCs w:val="20"/>
        </w:rPr>
      </w:pPr>
    </w:p>
    <w:p w:rsidR="00F9409C" w:rsidRPr="00F9409C" w:rsidRDefault="00F9409C" w:rsidP="00F9409C">
      <w:pPr>
        <w:pStyle w:val="NormaleWeb"/>
        <w:spacing w:before="0" w:beforeAutospacing="0" w:after="0" w:afterAutospacing="0"/>
        <w:jc w:val="both"/>
        <w:rPr>
          <w:rFonts w:ascii="Segoe UI" w:hAnsi="Segoe UI" w:cs="Segoe UI"/>
          <w:sz w:val="20"/>
          <w:szCs w:val="20"/>
        </w:rPr>
      </w:pPr>
      <w:r w:rsidRPr="00F9409C">
        <w:rPr>
          <w:rStyle w:val="Enfasigrassetto"/>
          <w:rFonts w:ascii="Segoe UI" w:hAnsi="Segoe UI" w:cs="Segoe UI"/>
          <w:sz w:val="20"/>
          <w:szCs w:val="20"/>
          <w:bdr w:val="single" w:sz="2" w:space="0" w:color="auto" w:frame="1"/>
        </w:rPr>
        <w:t>Scuole di Pensiero Economiche di Riferimento</w:t>
      </w:r>
    </w:p>
    <w:p w:rsidR="00F9409C" w:rsidRPr="00F9409C" w:rsidRDefault="00F9409C" w:rsidP="00F9409C">
      <w:pPr>
        <w:pStyle w:val="NormaleWeb"/>
        <w:spacing w:before="0" w:beforeAutospacing="0" w:after="0" w:afterAutospacing="0"/>
        <w:jc w:val="both"/>
        <w:rPr>
          <w:rFonts w:ascii="Segoe UI" w:hAnsi="Segoe UI" w:cs="Segoe UI"/>
          <w:sz w:val="20"/>
          <w:szCs w:val="20"/>
        </w:rPr>
      </w:pPr>
      <w:r w:rsidRPr="00F9409C">
        <w:rPr>
          <w:rFonts w:ascii="Segoe UI" w:hAnsi="Segoe UI" w:cs="Segoe UI"/>
          <w:sz w:val="20"/>
          <w:szCs w:val="20"/>
        </w:rPr>
        <w:t xml:space="preserve">L'impostazione teorica del manuale è prevalentemente </w:t>
      </w:r>
      <w:proofErr w:type="spellStart"/>
      <w:r w:rsidRPr="00F9409C">
        <w:rPr>
          <w:rFonts w:ascii="Segoe UI" w:hAnsi="Segoe UI" w:cs="Segoe UI"/>
          <w:sz w:val="20"/>
          <w:szCs w:val="20"/>
        </w:rPr>
        <w:t>mainstream</w:t>
      </w:r>
      <w:proofErr w:type="spellEnd"/>
      <w:r w:rsidRPr="00F9409C">
        <w:rPr>
          <w:rFonts w:ascii="Segoe UI" w:hAnsi="Segoe UI" w:cs="Segoe UI"/>
          <w:sz w:val="20"/>
          <w:szCs w:val="20"/>
        </w:rPr>
        <w:t xml:space="preserve">, con un solido ancoraggio alla tradizione neoclassica. Il capitolo 2 sul sistema di mercato presenta chiaramente l'approccio smithiano della "mano invisibile" e della sovranità del consumatore, mentre la sezione microeconomica (capitoli 3-9) segue fedelmente l'approccio </w:t>
      </w:r>
      <w:proofErr w:type="spellStart"/>
      <w:r w:rsidRPr="00F9409C">
        <w:rPr>
          <w:rFonts w:ascii="Segoe UI" w:hAnsi="Segoe UI" w:cs="Segoe UI"/>
          <w:sz w:val="20"/>
          <w:szCs w:val="20"/>
        </w:rPr>
        <w:t>marshalliano</w:t>
      </w:r>
      <w:proofErr w:type="spellEnd"/>
      <w:r w:rsidRPr="00F9409C">
        <w:rPr>
          <w:rFonts w:ascii="Segoe UI" w:hAnsi="Segoe UI" w:cs="Segoe UI"/>
          <w:sz w:val="20"/>
          <w:szCs w:val="20"/>
        </w:rPr>
        <w:t xml:space="preserve"> di equilibrio parziale.</w:t>
      </w:r>
    </w:p>
    <w:p w:rsidR="00F9409C" w:rsidRPr="00F9409C" w:rsidRDefault="00F9409C" w:rsidP="00F9409C">
      <w:pPr>
        <w:pStyle w:val="NormaleWeb"/>
        <w:spacing w:before="0" w:beforeAutospacing="0" w:after="0" w:afterAutospacing="0"/>
        <w:jc w:val="both"/>
        <w:rPr>
          <w:rFonts w:ascii="Segoe UI" w:hAnsi="Segoe UI" w:cs="Segoe UI"/>
          <w:sz w:val="20"/>
          <w:szCs w:val="20"/>
        </w:rPr>
      </w:pPr>
      <w:r w:rsidRPr="00F9409C">
        <w:rPr>
          <w:rFonts w:ascii="Segoe UI" w:hAnsi="Segoe UI" w:cs="Segoe UI"/>
          <w:sz w:val="20"/>
          <w:szCs w:val="20"/>
        </w:rPr>
        <w:t xml:space="preserve">Tuttavia, l'opera presenta significative aperture verso sviluppi più moderni. Il capitolo 5 sui fallimenti del mercato incorpora elementi della teoria del benessere sociale e dell'economia ambientale, includendo il teorema di </w:t>
      </w:r>
      <w:proofErr w:type="spellStart"/>
      <w:r w:rsidRPr="00F9409C">
        <w:rPr>
          <w:rFonts w:ascii="Segoe UI" w:hAnsi="Segoe UI" w:cs="Segoe UI"/>
          <w:sz w:val="20"/>
          <w:szCs w:val="20"/>
        </w:rPr>
        <w:t>Coase</w:t>
      </w:r>
      <w:proofErr w:type="spellEnd"/>
      <w:r w:rsidRPr="00F9409C">
        <w:rPr>
          <w:rFonts w:ascii="Segoe UI" w:hAnsi="Segoe UI" w:cs="Segoe UI"/>
          <w:sz w:val="20"/>
          <w:szCs w:val="20"/>
        </w:rPr>
        <w:t xml:space="preserve"> e i meccanismi di mercato per le esternalità. La sezione sui modelli di mercato (capitoli 7-9) integra elementi di economia industriale moderna, con particolare attenzione alla teoria dei giochi nell'analisi dell'oligopolio.</w:t>
      </w:r>
    </w:p>
    <w:p w:rsidR="00F9409C" w:rsidRDefault="00F9409C" w:rsidP="00F9409C">
      <w:pPr>
        <w:pStyle w:val="NormaleWeb"/>
        <w:spacing w:before="0" w:beforeAutospacing="0" w:after="0" w:afterAutospacing="0"/>
        <w:jc w:val="both"/>
        <w:rPr>
          <w:rFonts w:ascii="Segoe UI" w:hAnsi="Segoe UI" w:cs="Segoe UI"/>
          <w:sz w:val="20"/>
          <w:szCs w:val="20"/>
        </w:rPr>
      </w:pPr>
      <w:r w:rsidRPr="00F9409C">
        <w:rPr>
          <w:rFonts w:ascii="Segoe UI" w:hAnsi="Segoe UI" w:cs="Segoe UI"/>
          <w:sz w:val="20"/>
          <w:szCs w:val="20"/>
        </w:rPr>
        <w:t>Sul fronte macroeconomico, l'approccio è eclettico ma con una chiara dominanza keynesiana. Il modello di domanda e offerta aggregata (capitolo 12) rappresenta il core della sintesi neoclassica, mentre i capitoli sulla politica fiscale e monetaria (capitoli 13-15) riflettono l'approccio delle politiche di stabilizzazione tipico del consenso post-keynesiano.</w:t>
      </w:r>
    </w:p>
    <w:p w:rsidR="00F9409C" w:rsidRPr="00F9409C" w:rsidRDefault="00F9409C" w:rsidP="00F9409C">
      <w:pPr>
        <w:pStyle w:val="NormaleWeb"/>
        <w:spacing w:before="0" w:beforeAutospacing="0" w:after="0" w:afterAutospacing="0"/>
        <w:jc w:val="both"/>
        <w:rPr>
          <w:rFonts w:ascii="Segoe UI" w:hAnsi="Segoe UI" w:cs="Segoe UI"/>
          <w:sz w:val="20"/>
          <w:szCs w:val="20"/>
        </w:rPr>
      </w:pPr>
    </w:p>
    <w:p w:rsidR="00F9409C" w:rsidRPr="00F9409C" w:rsidRDefault="00F9409C" w:rsidP="00F9409C">
      <w:pPr>
        <w:pStyle w:val="NormaleWeb"/>
        <w:spacing w:before="0" w:beforeAutospacing="0" w:after="0" w:afterAutospacing="0"/>
        <w:jc w:val="both"/>
        <w:rPr>
          <w:rFonts w:ascii="Segoe UI" w:hAnsi="Segoe UI" w:cs="Segoe UI"/>
          <w:sz w:val="20"/>
          <w:szCs w:val="20"/>
        </w:rPr>
      </w:pPr>
      <w:r w:rsidRPr="00F9409C">
        <w:rPr>
          <w:rStyle w:val="Enfasigrassetto"/>
          <w:rFonts w:ascii="Segoe UI" w:hAnsi="Segoe UI" w:cs="Segoe UI"/>
          <w:sz w:val="20"/>
          <w:szCs w:val="20"/>
          <w:bdr w:val="single" w:sz="2" w:space="0" w:color="auto" w:frame="1"/>
        </w:rPr>
        <w:t>Modelli Economici Micro e Macroeconomici</w:t>
      </w:r>
    </w:p>
    <w:p w:rsidR="00F9409C" w:rsidRPr="00F9409C" w:rsidRDefault="00F9409C" w:rsidP="00F9409C">
      <w:pPr>
        <w:pStyle w:val="NormaleWeb"/>
        <w:spacing w:before="0" w:beforeAutospacing="0" w:after="0" w:afterAutospacing="0"/>
        <w:jc w:val="both"/>
        <w:rPr>
          <w:rFonts w:ascii="Segoe UI" w:hAnsi="Segoe UI" w:cs="Segoe UI"/>
          <w:sz w:val="20"/>
          <w:szCs w:val="20"/>
        </w:rPr>
      </w:pPr>
      <w:r w:rsidRPr="00F9409C">
        <w:rPr>
          <w:rFonts w:ascii="Segoe UI" w:hAnsi="Segoe UI" w:cs="Segoe UI"/>
          <w:sz w:val="20"/>
          <w:szCs w:val="20"/>
        </w:rPr>
        <w:t>La struttura microeconomica presenta una progressione completa ma semplificata rispetto ai testi più avanzati. Il capitolo 3 sviluppa il modello standard di domanda e offerta con particolare attenzione agli aspetti grafici e intuitivi, mentre il capitolo 4 approfondisce il concetto di elasticità attraverso applicazioni pratiche e test del ricavo totale.</w:t>
      </w:r>
    </w:p>
    <w:p w:rsidR="00F9409C" w:rsidRPr="00F9409C" w:rsidRDefault="00F9409C" w:rsidP="00F9409C">
      <w:pPr>
        <w:pStyle w:val="NormaleWeb"/>
        <w:spacing w:before="0" w:beforeAutospacing="0" w:after="0" w:afterAutospacing="0"/>
        <w:jc w:val="both"/>
        <w:rPr>
          <w:rFonts w:ascii="Segoe UI" w:hAnsi="Segoe UI" w:cs="Segoe UI"/>
          <w:sz w:val="20"/>
          <w:szCs w:val="20"/>
        </w:rPr>
      </w:pPr>
      <w:r w:rsidRPr="00F9409C">
        <w:rPr>
          <w:rFonts w:ascii="Segoe UI" w:hAnsi="Segoe UI" w:cs="Segoe UI"/>
          <w:sz w:val="20"/>
          <w:szCs w:val="20"/>
        </w:rPr>
        <w:t>La teoria dell'impresa (capitolo 6) presenta i modelli standard di costo attraverso l'approccio dei rendimenti decrescenti, mentre i capitoli 7-9 sviluppano sistematicamente i diversi modelli di mercato: concorrenza perfetta, monopolio, concorrenza monopolistica e oligopolio. L'innovazione principale risiede nell'integrazione della teoria dei giochi nell'analisi oligopolistica, resa accessibile attraverso il classico "dilemma del prigioniero".</w:t>
      </w:r>
    </w:p>
    <w:p w:rsidR="00F9409C" w:rsidRDefault="00F9409C" w:rsidP="00F9409C">
      <w:pPr>
        <w:pStyle w:val="NormaleWeb"/>
        <w:spacing w:before="0" w:beforeAutospacing="0" w:after="0" w:afterAutospacing="0"/>
        <w:jc w:val="both"/>
        <w:rPr>
          <w:rFonts w:ascii="Segoe UI" w:hAnsi="Segoe UI" w:cs="Segoe UI"/>
          <w:sz w:val="20"/>
          <w:szCs w:val="20"/>
        </w:rPr>
      </w:pPr>
      <w:r w:rsidRPr="00F9409C">
        <w:rPr>
          <w:rFonts w:ascii="Segoe UI" w:hAnsi="Segoe UI" w:cs="Segoe UI"/>
          <w:sz w:val="20"/>
          <w:szCs w:val="20"/>
        </w:rPr>
        <w:t xml:space="preserve">La sezione macroeconomica presenta una sequenza logica che parte dalla misurazione (capitolo 10) per arrivare al modello completo di domanda e offerta aggregata (capitolo 12). Il modello DA-OA costituisce il </w:t>
      </w:r>
      <w:proofErr w:type="spellStart"/>
      <w:r w:rsidRPr="00F9409C">
        <w:rPr>
          <w:rFonts w:ascii="Segoe UI" w:hAnsi="Segoe UI" w:cs="Segoe UI"/>
          <w:sz w:val="20"/>
          <w:szCs w:val="20"/>
        </w:rPr>
        <w:t>framework</w:t>
      </w:r>
      <w:proofErr w:type="spellEnd"/>
      <w:r w:rsidRPr="00F9409C">
        <w:rPr>
          <w:rFonts w:ascii="Segoe UI" w:hAnsi="Segoe UI" w:cs="Segoe UI"/>
          <w:sz w:val="20"/>
          <w:szCs w:val="20"/>
        </w:rPr>
        <w:t xml:space="preserve"> centrale, integrato con l'analisi delle politiche fiscali e monetarie nei capitoli successivi. La presenza di un capitolo specifico sui cicli economici (capitolo 11) indica un'attenzione particolare alle fluttuazioni di breve periodo.</w:t>
      </w:r>
    </w:p>
    <w:p w:rsidR="00F9409C" w:rsidRPr="00F9409C" w:rsidRDefault="00F9409C" w:rsidP="00F9409C">
      <w:pPr>
        <w:pStyle w:val="NormaleWeb"/>
        <w:spacing w:before="0" w:beforeAutospacing="0" w:after="0" w:afterAutospacing="0"/>
        <w:jc w:val="both"/>
        <w:rPr>
          <w:rFonts w:ascii="Segoe UI" w:hAnsi="Segoe UI" w:cs="Segoe UI"/>
          <w:sz w:val="20"/>
          <w:szCs w:val="20"/>
        </w:rPr>
      </w:pPr>
    </w:p>
    <w:p w:rsidR="00F9409C" w:rsidRPr="00F9409C" w:rsidRDefault="00F9409C" w:rsidP="00F9409C">
      <w:pPr>
        <w:pStyle w:val="NormaleWeb"/>
        <w:spacing w:before="0" w:beforeAutospacing="0" w:after="0" w:afterAutospacing="0"/>
        <w:jc w:val="both"/>
        <w:rPr>
          <w:rFonts w:ascii="Segoe UI" w:hAnsi="Segoe UI" w:cs="Segoe UI"/>
          <w:sz w:val="20"/>
          <w:szCs w:val="20"/>
        </w:rPr>
      </w:pPr>
      <w:r w:rsidRPr="00F9409C">
        <w:rPr>
          <w:rStyle w:val="Enfasigrassetto"/>
          <w:rFonts w:ascii="Segoe UI" w:hAnsi="Segoe UI" w:cs="Segoe UI"/>
          <w:sz w:val="20"/>
          <w:szCs w:val="20"/>
          <w:bdr w:val="single" w:sz="2" w:space="0" w:color="auto" w:frame="1"/>
        </w:rPr>
        <w:t>Modelli di Crescita Economica</w:t>
      </w:r>
    </w:p>
    <w:p w:rsidR="00F9409C" w:rsidRPr="00F9409C" w:rsidRDefault="00F9409C" w:rsidP="00F9409C">
      <w:pPr>
        <w:pStyle w:val="NormaleWeb"/>
        <w:spacing w:before="0" w:beforeAutospacing="0" w:after="0" w:afterAutospacing="0"/>
        <w:jc w:val="both"/>
        <w:rPr>
          <w:rFonts w:ascii="Segoe UI" w:hAnsi="Segoe UI" w:cs="Segoe UI"/>
          <w:sz w:val="20"/>
          <w:szCs w:val="20"/>
        </w:rPr>
      </w:pPr>
      <w:r w:rsidRPr="00F9409C">
        <w:rPr>
          <w:rFonts w:ascii="Segoe UI" w:hAnsi="Segoe UI" w:cs="Segoe UI"/>
          <w:sz w:val="20"/>
          <w:szCs w:val="20"/>
        </w:rPr>
        <w:t xml:space="preserve">La trattazione della crescita economica è integrata nel capitolo 10 sul PIL, dove si presenta un approccio moderno che combina fattori dal lato dell'offerta (capitale, lavoro, tecnologia) con elementi dal lato della domanda e dell'efficienza allocativa. Questa impostazione riflette un approccio che va oltre il modello di </w:t>
      </w:r>
      <w:proofErr w:type="spellStart"/>
      <w:r w:rsidRPr="00F9409C">
        <w:rPr>
          <w:rFonts w:ascii="Segoe UI" w:hAnsi="Segoe UI" w:cs="Segoe UI"/>
          <w:sz w:val="20"/>
          <w:szCs w:val="20"/>
        </w:rPr>
        <w:t>Solow</w:t>
      </w:r>
      <w:proofErr w:type="spellEnd"/>
      <w:r w:rsidRPr="00F9409C">
        <w:rPr>
          <w:rFonts w:ascii="Segoe UI" w:hAnsi="Segoe UI" w:cs="Segoe UI"/>
          <w:sz w:val="20"/>
          <w:szCs w:val="20"/>
        </w:rPr>
        <w:t xml:space="preserve"> tradizionale, incorporando elementi della teoria della crescita endogena.</w:t>
      </w:r>
    </w:p>
    <w:p w:rsidR="00F9409C" w:rsidRDefault="00F9409C" w:rsidP="00F9409C">
      <w:pPr>
        <w:pStyle w:val="NormaleWeb"/>
        <w:spacing w:before="0" w:beforeAutospacing="0" w:after="0" w:afterAutospacing="0"/>
        <w:jc w:val="both"/>
        <w:rPr>
          <w:rFonts w:ascii="Segoe UI" w:hAnsi="Segoe UI" w:cs="Segoe UI"/>
          <w:sz w:val="20"/>
          <w:szCs w:val="20"/>
        </w:rPr>
      </w:pPr>
      <w:r w:rsidRPr="00F9409C">
        <w:rPr>
          <w:rFonts w:ascii="Segoe UI" w:hAnsi="Segoe UI" w:cs="Segoe UI"/>
          <w:sz w:val="20"/>
          <w:szCs w:val="20"/>
        </w:rPr>
        <w:lastRenderedPageBreak/>
        <w:t>La sezione sulla crescita include un'analisi approfondita della produttività del lavoro e del progresso tecnologico, con particolare attenzione alle fluttuazioni recenti della crescita della produttività negli Stati Uniti e in Europa. L'inclusione del dibattito su "desiderabilità e sostenibilità della crescita" indica un approccio equilibrato che considera sia gli aspetti positivi che i potenziali costi ambientali e sociali della crescita economica.</w:t>
      </w:r>
    </w:p>
    <w:p w:rsidR="00F9409C" w:rsidRPr="00F9409C" w:rsidRDefault="00F9409C" w:rsidP="00F9409C">
      <w:pPr>
        <w:pStyle w:val="NormaleWeb"/>
        <w:spacing w:before="0" w:beforeAutospacing="0" w:after="0" w:afterAutospacing="0"/>
        <w:jc w:val="both"/>
        <w:rPr>
          <w:rFonts w:ascii="Segoe UI" w:hAnsi="Segoe UI" w:cs="Segoe UI"/>
          <w:sz w:val="20"/>
          <w:szCs w:val="20"/>
        </w:rPr>
      </w:pPr>
    </w:p>
    <w:p w:rsidR="00F9409C" w:rsidRPr="00F9409C" w:rsidRDefault="00F9409C" w:rsidP="00F9409C">
      <w:pPr>
        <w:pStyle w:val="NormaleWeb"/>
        <w:spacing w:before="0" w:beforeAutospacing="0" w:after="0" w:afterAutospacing="0"/>
        <w:jc w:val="both"/>
        <w:rPr>
          <w:rFonts w:ascii="Segoe UI" w:hAnsi="Segoe UI" w:cs="Segoe UI"/>
          <w:sz w:val="20"/>
          <w:szCs w:val="20"/>
        </w:rPr>
      </w:pPr>
      <w:r w:rsidRPr="00F9409C">
        <w:rPr>
          <w:rStyle w:val="Enfasigrassetto"/>
          <w:rFonts w:ascii="Segoe UI" w:hAnsi="Segoe UI" w:cs="Segoe UI"/>
          <w:sz w:val="20"/>
          <w:szCs w:val="20"/>
          <w:bdr w:val="single" w:sz="2" w:space="0" w:color="auto" w:frame="1"/>
        </w:rPr>
        <w:t>Trattazione Temporale: Breve e Lungo Periodo</w:t>
      </w:r>
    </w:p>
    <w:p w:rsidR="00F9409C" w:rsidRPr="00F9409C" w:rsidRDefault="00F9409C" w:rsidP="00F9409C">
      <w:pPr>
        <w:pStyle w:val="NormaleWeb"/>
        <w:spacing w:before="0" w:beforeAutospacing="0" w:after="0" w:afterAutospacing="0"/>
        <w:jc w:val="both"/>
        <w:rPr>
          <w:rFonts w:ascii="Segoe UI" w:hAnsi="Segoe UI" w:cs="Segoe UI"/>
          <w:sz w:val="20"/>
          <w:szCs w:val="20"/>
        </w:rPr>
      </w:pPr>
      <w:r w:rsidRPr="00F9409C">
        <w:rPr>
          <w:rFonts w:ascii="Segoe UI" w:hAnsi="Segoe UI" w:cs="Segoe UI"/>
          <w:sz w:val="20"/>
          <w:szCs w:val="20"/>
        </w:rPr>
        <w:t>L'approccio temporale è sistematicamente sviluppato sia a livello microeconomico che macroeconomico. Nel capitolo 6 sui costi dell'impresa, la distinzione tra breve e lungo periodo è introdotta attraverso l'analisi dei rendimenti decrescenti e delle economie di scala, fornendo una base solida per l'analisi successiva dei mercati.</w:t>
      </w:r>
    </w:p>
    <w:p w:rsidR="00F9409C" w:rsidRPr="00F9409C" w:rsidRDefault="00F9409C" w:rsidP="00F9409C">
      <w:pPr>
        <w:pStyle w:val="NormaleWeb"/>
        <w:spacing w:before="0" w:beforeAutospacing="0" w:after="0" w:afterAutospacing="0"/>
        <w:jc w:val="both"/>
        <w:rPr>
          <w:rFonts w:ascii="Segoe UI" w:hAnsi="Segoe UI" w:cs="Segoe UI"/>
          <w:sz w:val="20"/>
          <w:szCs w:val="20"/>
        </w:rPr>
      </w:pPr>
      <w:r w:rsidRPr="00F9409C">
        <w:rPr>
          <w:rFonts w:ascii="Segoe UI" w:hAnsi="Segoe UI" w:cs="Segoe UI"/>
          <w:sz w:val="20"/>
          <w:szCs w:val="20"/>
        </w:rPr>
        <w:t>La progressione temporale è particolarmente evidente nell'analisi della concorrenza perfetta (capitolo 7), dove si distingue chiaramente tra equilibrio di breve periodo (con possibili profitti o perdite) e equilibrio di lungo periodo (con profitto normale). Questa distinzione viene poi applicata sistematicamente negli altri modelli di mercato.</w:t>
      </w:r>
    </w:p>
    <w:p w:rsidR="00F9409C" w:rsidRDefault="00F9409C" w:rsidP="00F9409C">
      <w:pPr>
        <w:pStyle w:val="NormaleWeb"/>
        <w:spacing w:before="0" w:beforeAutospacing="0" w:after="0" w:afterAutospacing="0"/>
        <w:jc w:val="both"/>
        <w:rPr>
          <w:rFonts w:ascii="Segoe UI" w:hAnsi="Segoe UI" w:cs="Segoe UI"/>
          <w:sz w:val="20"/>
          <w:szCs w:val="20"/>
        </w:rPr>
      </w:pPr>
      <w:r w:rsidRPr="00F9409C">
        <w:rPr>
          <w:rFonts w:ascii="Segoe UI" w:hAnsi="Segoe UI" w:cs="Segoe UI"/>
          <w:sz w:val="20"/>
          <w:szCs w:val="20"/>
        </w:rPr>
        <w:t>A livello macroeconomico, il capitolo 4 sull'elasticità introduce esplicitamente la dimensione temporale attraverso l'analisi dell'elasticità dell'offerta nel "periodo immediato", "breve periodo" e "lungo periodo". Il modello DA-OA del capitolo 12 sviluppa questa distinzione nell'analisi dell'offerta aggregata, distinguendo tra aggiustamenti di brevissimo, breve e lungo periodo.</w:t>
      </w:r>
    </w:p>
    <w:p w:rsidR="00F9409C" w:rsidRPr="00F9409C" w:rsidRDefault="00F9409C" w:rsidP="00F9409C">
      <w:pPr>
        <w:pStyle w:val="NormaleWeb"/>
        <w:spacing w:before="0" w:beforeAutospacing="0" w:after="0" w:afterAutospacing="0"/>
        <w:jc w:val="both"/>
        <w:rPr>
          <w:rFonts w:ascii="Segoe UI" w:hAnsi="Segoe UI" w:cs="Segoe UI"/>
          <w:sz w:val="20"/>
          <w:szCs w:val="20"/>
        </w:rPr>
      </w:pPr>
      <w:bookmarkStart w:id="0" w:name="_GoBack"/>
      <w:bookmarkEnd w:id="0"/>
    </w:p>
    <w:p w:rsidR="00F9409C" w:rsidRPr="00F9409C" w:rsidRDefault="00F9409C" w:rsidP="00F9409C">
      <w:pPr>
        <w:pStyle w:val="NormaleWeb"/>
        <w:spacing w:before="0" w:beforeAutospacing="0" w:after="0" w:afterAutospacing="0"/>
        <w:jc w:val="both"/>
        <w:rPr>
          <w:rFonts w:ascii="Segoe UI" w:hAnsi="Segoe UI" w:cs="Segoe UI"/>
          <w:sz w:val="20"/>
          <w:szCs w:val="20"/>
        </w:rPr>
      </w:pPr>
      <w:r w:rsidRPr="00F9409C">
        <w:rPr>
          <w:rStyle w:val="Enfasigrassetto"/>
          <w:rFonts w:ascii="Segoe UI" w:hAnsi="Segoe UI" w:cs="Segoe UI"/>
          <w:sz w:val="20"/>
          <w:szCs w:val="20"/>
          <w:bdr w:val="single" w:sz="2" w:space="0" w:color="auto" w:frame="1"/>
        </w:rPr>
        <w:t>Argomenti Non Standard e Innovazioni Didattiche</w:t>
      </w:r>
    </w:p>
    <w:p w:rsidR="00F9409C" w:rsidRPr="00F9409C" w:rsidRDefault="00F9409C" w:rsidP="00F9409C">
      <w:pPr>
        <w:pStyle w:val="NormaleWeb"/>
        <w:spacing w:before="0" w:beforeAutospacing="0" w:after="0" w:afterAutospacing="0"/>
        <w:jc w:val="both"/>
        <w:rPr>
          <w:rFonts w:ascii="Segoe UI" w:hAnsi="Segoe UI" w:cs="Segoe UI"/>
          <w:sz w:val="20"/>
          <w:szCs w:val="20"/>
        </w:rPr>
      </w:pPr>
      <w:r w:rsidRPr="00F9409C">
        <w:rPr>
          <w:rFonts w:ascii="Segoe UI" w:hAnsi="Segoe UI" w:cs="Segoe UI"/>
          <w:sz w:val="20"/>
          <w:szCs w:val="20"/>
        </w:rPr>
        <w:t>Il manuale presenta numerose innovazioni didattiche che lo distinguono dai testi tradizionali. L'appendice al capitolo 1 sui grafici rappresenta un'innovazione importante, fornendo agli studenti gli strumenti matematici di base necessari per comprendere l'analisi economica. Questa attenzione agli aspetti metodologici si riflette anche nella presenza sistematica di esempi numerici e grafici esplicativi.</w:t>
      </w:r>
    </w:p>
    <w:p w:rsidR="00F9409C" w:rsidRPr="00F9409C" w:rsidRDefault="00F9409C" w:rsidP="00F9409C">
      <w:pPr>
        <w:pStyle w:val="NormaleWeb"/>
        <w:spacing w:before="0" w:beforeAutospacing="0" w:after="0" w:afterAutospacing="0"/>
        <w:jc w:val="both"/>
        <w:rPr>
          <w:rFonts w:ascii="Segoe UI" w:hAnsi="Segoe UI" w:cs="Segoe UI"/>
          <w:sz w:val="20"/>
          <w:szCs w:val="20"/>
        </w:rPr>
      </w:pPr>
      <w:r w:rsidRPr="00F9409C">
        <w:rPr>
          <w:rFonts w:ascii="Segoe UI" w:hAnsi="Segoe UI" w:cs="Segoe UI"/>
          <w:sz w:val="20"/>
          <w:szCs w:val="20"/>
        </w:rPr>
        <w:t>Le sezioni "Istantanea dal Mondo" presenti in ogni capitolo rappresentano un'innovazione significativa, fornendo dati comparativi internazionali che contestualizzano i concetti teorici e rendono l'analisi più rilevante per studenti di diversi paesi. Questa dimensione internazionale è particolarmente evidente nei capitoli macroeconomici, dove si presentano sistematicamente confronti tra paesi diversi.</w:t>
      </w:r>
    </w:p>
    <w:p w:rsidR="00F9409C" w:rsidRPr="00F9409C" w:rsidRDefault="00F9409C" w:rsidP="00F9409C">
      <w:pPr>
        <w:pStyle w:val="NormaleWeb"/>
        <w:spacing w:before="0" w:beforeAutospacing="0" w:after="0" w:afterAutospacing="0"/>
        <w:jc w:val="both"/>
        <w:rPr>
          <w:rFonts w:ascii="Segoe UI" w:hAnsi="Segoe UI" w:cs="Segoe UI"/>
          <w:sz w:val="20"/>
          <w:szCs w:val="20"/>
        </w:rPr>
      </w:pPr>
      <w:r w:rsidRPr="00F9409C">
        <w:rPr>
          <w:rFonts w:ascii="Segoe UI" w:hAnsi="Segoe UI" w:cs="Segoe UI"/>
          <w:sz w:val="20"/>
          <w:szCs w:val="20"/>
        </w:rPr>
        <w:t xml:space="preserve">Il capitolo 5 sui fallimenti del mercato è particolarmente innovativo per un testo introduttivo, presentando un'analisi completa di beni pubblici, esternalità e teorema di </w:t>
      </w:r>
      <w:proofErr w:type="spellStart"/>
      <w:r w:rsidRPr="00F9409C">
        <w:rPr>
          <w:rFonts w:ascii="Segoe UI" w:hAnsi="Segoe UI" w:cs="Segoe UI"/>
          <w:sz w:val="20"/>
          <w:szCs w:val="20"/>
        </w:rPr>
        <w:t>Coase</w:t>
      </w:r>
      <w:proofErr w:type="spellEnd"/>
      <w:r w:rsidRPr="00F9409C">
        <w:rPr>
          <w:rFonts w:ascii="Segoe UI" w:hAnsi="Segoe UI" w:cs="Segoe UI"/>
          <w:sz w:val="20"/>
          <w:szCs w:val="20"/>
        </w:rPr>
        <w:t xml:space="preserve">. L'inclusione di argomenti come la "tariffazione della congestione stradale" e "l'analisi costi-benefici" indica un approccio che collega teoria e policy </w:t>
      </w:r>
      <w:proofErr w:type="spellStart"/>
      <w:r w:rsidRPr="00F9409C">
        <w:rPr>
          <w:rFonts w:ascii="Segoe UI" w:hAnsi="Segoe UI" w:cs="Segoe UI"/>
          <w:sz w:val="20"/>
          <w:szCs w:val="20"/>
        </w:rPr>
        <w:t>analysis</w:t>
      </w:r>
      <w:proofErr w:type="spellEnd"/>
      <w:r w:rsidRPr="00F9409C">
        <w:rPr>
          <w:rFonts w:ascii="Segoe UI" w:hAnsi="Segoe UI" w:cs="Segoe UI"/>
          <w:sz w:val="20"/>
          <w:szCs w:val="20"/>
        </w:rPr>
        <w:t>.</w:t>
      </w:r>
    </w:p>
    <w:p w:rsidR="00F9409C" w:rsidRPr="00F9409C" w:rsidRDefault="00F9409C" w:rsidP="00F9409C">
      <w:pPr>
        <w:pStyle w:val="NormaleWeb"/>
        <w:spacing w:before="0" w:beforeAutospacing="0" w:after="0" w:afterAutospacing="0"/>
        <w:jc w:val="both"/>
        <w:rPr>
          <w:rFonts w:ascii="Segoe UI" w:hAnsi="Segoe UI" w:cs="Segoe UI"/>
          <w:sz w:val="20"/>
          <w:szCs w:val="20"/>
        </w:rPr>
      </w:pPr>
      <w:r w:rsidRPr="00F9409C">
        <w:rPr>
          <w:rFonts w:ascii="Segoe UI" w:hAnsi="Segoe UI" w:cs="Segoe UI"/>
          <w:sz w:val="20"/>
          <w:szCs w:val="20"/>
        </w:rPr>
        <w:t>La sezione sulle strutture di mercato presenta innovazioni importanti nell'analisi dell'oligopolio (capitolo 9), con l'integrazione della teoria dei giochi attraverso esempi accessibili come il "dilemma del prigioniero". La presenza di argomenti come "gli oligopoli di Internet" riflette un'attenzione alle trasformazioni economiche contemporanee.</w:t>
      </w:r>
    </w:p>
    <w:p w:rsidR="00F9409C" w:rsidRPr="00F9409C" w:rsidRDefault="00F9409C" w:rsidP="00F9409C">
      <w:pPr>
        <w:pStyle w:val="NormaleWeb"/>
        <w:spacing w:before="0" w:beforeAutospacing="0" w:after="0" w:afterAutospacing="0"/>
        <w:jc w:val="both"/>
        <w:rPr>
          <w:rFonts w:ascii="Segoe UI" w:hAnsi="Segoe UI" w:cs="Segoe UI"/>
          <w:sz w:val="20"/>
          <w:szCs w:val="20"/>
        </w:rPr>
      </w:pPr>
      <w:r w:rsidRPr="00F9409C">
        <w:rPr>
          <w:rFonts w:ascii="Segoe UI" w:hAnsi="Segoe UI" w:cs="Segoe UI"/>
          <w:sz w:val="20"/>
          <w:szCs w:val="20"/>
        </w:rPr>
        <w:t>Sul fronte macroeconomico, il capitolo 11 sui cicli economici include un'analisi approfondita della crisi finanziaria del 2007-2008, fornendo agli studenti una comprensione delle dinamiche economiche contemporanee. Il capitolo 14 sul sistema bancario presenta un'analisi dettagliata della crisi finanziaria e dei cambiamenti normativi successivi.</w:t>
      </w:r>
    </w:p>
    <w:p w:rsidR="00F9409C" w:rsidRPr="00F9409C" w:rsidRDefault="00F9409C" w:rsidP="00F9409C">
      <w:pPr>
        <w:pStyle w:val="NormaleWeb"/>
        <w:spacing w:before="0" w:beforeAutospacing="0" w:after="0" w:afterAutospacing="0"/>
        <w:jc w:val="both"/>
        <w:rPr>
          <w:rFonts w:ascii="Segoe UI" w:hAnsi="Segoe UI" w:cs="Segoe UI"/>
          <w:sz w:val="20"/>
          <w:szCs w:val="20"/>
        </w:rPr>
      </w:pPr>
      <w:r w:rsidRPr="00F9409C">
        <w:rPr>
          <w:rFonts w:ascii="Segoe UI" w:hAnsi="Segoe UI" w:cs="Segoe UI"/>
          <w:sz w:val="20"/>
          <w:szCs w:val="20"/>
        </w:rPr>
        <w:t xml:space="preserve">Il capitolo 17 sulla disuguaglianza del reddito rappresenta un'innovazione significativa per un testo introduttivo, includendo argomenti come il "reddito di base universale" e l'analisi del </w:t>
      </w:r>
      <w:proofErr w:type="spellStart"/>
      <w:r w:rsidRPr="00F9409C">
        <w:rPr>
          <w:rFonts w:ascii="Segoe UI" w:hAnsi="Segoe UI" w:cs="Segoe UI"/>
          <w:sz w:val="20"/>
          <w:szCs w:val="20"/>
        </w:rPr>
        <w:t>trade</w:t>
      </w:r>
      <w:proofErr w:type="spellEnd"/>
      <w:r w:rsidRPr="00F9409C">
        <w:rPr>
          <w:rFonts w:ascii="Segoe UI" w:hAnsi="Segoe UI" w:cs="Segoe UI"/>
          <w:sz w:val="20"/>
          <w:szCs w:val="20"/>
        </w:rPr>
        <w:t>-off tra efficienza ed equità. Questa attenzione alle problematiche distributive riflette l'importanza crescente di questi temi nell'economia contemporanea.</w:t>
      </w:r>
    </w:p>
    <w:p w:rsidR="00F9409C" w:rsidRPr="00F9409C" w:rsidRDefault="00F9409C" w:rsidP="00F9409C">
      <w:pPr>
        <w:pStyle w:val="NormaleWeb"/>
        <w:spacing w:before="0" w:beforeAutospacing="0" w:after="0" w:afterAutospacing="0"/>
        <w:jc w:val="both"/>
        <w:rPr>
          <w:rFonts w:ascii="Segoe UI" w:hAnsi="Segoe UI" w:cs="Segoe UI"/>
          <w:sz w:val="20"/>
          <w:szCs w:val="20"/>
        </w:rPr>
      </w:pPr>
      <w:r w:rsidRPr="00F9409C">
        <w:rPr>
          <w:rFonts w:ascii="Segoe UI" w:hAnsi="Segoe UI" w:cs="Segoe UI"/>
          <w:sz w:val="20"/>
          <w:szCs w:val="20"/>
        </w:rPr>
        <w:t>L'integrazione sistematica di risorse digitali (test interattivi, grafici interattivi, video) indica un approccio didattico moderno che sfrutta le potenzialità delle tecnologie educative per migliorare l'apprendimento degli studenti.</w:t>
      </w:r>
    </w:p>
    <w:p w:rsidR="00F9409C" w:rsidRPr="00F9409C" w:rsidRDefault="00F9409C" w:rsidP="00F9409C">
      <w:pPr>
        <w:pStyle w:val="NormaleWeb"/>
        <w:spacing w:before="0" w:beforeAutospacing="0" w:after="0" w:afterAutospacing="0"/>
        <w:jc w:val="both"/>
        <w:rPr>
          <w:rFonts w:ascii="Segoe UI" w:hAnsi="Segoe UI" w:cs="Segoe UI"/>
          <w:sz w:val="20"/>
          <w:szCs w:val="20"/>
        </w:rPr>
      </w:pPr>
      <w:r w:rsidRPr="00F9409C">
        <w:rPr>
          <w:rFonts w:ascii="Segoe UI" w:hAnsi="Segoe UI" w:cs="Segoe UI"/>
          <w:sz w:val="20"/>
          <w:szCs w:val="20"/>
        </w:rPr>
        <w:t>La presenza di sezioni dedicate come "Focus sul Concetto" utilizza analogie e esempi concreti per rendere accessibili concetti complessi, mentre le "Analisi Applicate" collegano sistematicamente teoria ed evidenza empirica, preparando gli studenti a comprendere come l'economia si applica ai fenomeni del mondo reale.</w:t>
      </w:r>
    </w:p>
    <w:p w:rsidR="00D24BFA" w:rsidRPr="00F9409C" w:rsidRDefault="00D24BFA" w:rsidP="00F9409C">
      <w:pPr>
        <w:spacing w:after="0" w:line="240" w:lineRule="auto"/>
        <w:jc w:val="both"/>
        <w:rPr>
          <w:rFonts w:ascii="Segoe UI" w:hAnsi="Segoe UI" w:cs="Segoe UI"/>
          <w:sz w:val="20"/>
          <w:szCs w:val="20"/>
        </w:rPr>
      </w:pPr>
    </w:p>
    <w:sectPr w:rsidR="00D24BFA" w:rsidRPr="00F9409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doni MT">
    <w:panose1 w:val="020706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09C"/>
    <w:rsid w:val="00D24BFA"/>
    <w:rsid w:val="00F9409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74C278-BC31-4A2B-BC1E-6E0341E94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doni MT" w:eastAsiaTheme="minorHAnsi" w:hAnsi="Bodoni MT" w:cstheme="minorBidi"/>
        <w:sz w:val="24"/>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F9409C"/>
    <w:pPr>
      <w:spacing w:before="100" w:beforeAutospacing="1" w:after="100" w:afterAutospacing="1" w:line="240" w:lineRule="auto"/>
    </w:pPr>
    <w:rPr>
      <w:rFonts w:ascii="Times New Roman" w:eastAsia="Times New Roman" w:hAnsi="Times New Roman" w:cs="Times New Roman"/>
      <w:szCs w:val="24"/>
      <w:lang w:eastAsia="it-IT"/>
    </w:rPr>
  </w:style>
  <w:style w:type="character" w:styleId="Enfasigrassetto">
    <w:name w:val="Strong"/>
    <w:basedOn w:val="Carpredefinitoparagrafo"/>
    <w:uiPriority w:val="22"/>
    <w:qFormat/>
    <w:rsid w:val="00F940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0912083">
      <w:bodyDiv w:val="1"/>
      <w:marLeft w:val="0"/>
      <w:marRight w:val="0"/>
      <w:marTop w:val="0"/>
      <w:marBottom w:val="0"/>
      <w:divBdr>
        <w:top w:val="none" w:sz="0" w:space="0" w:color="auto"/>
        <w:left w:val="none" w:sz="0" w:space="0" w:color="auto"/>
        <w:bottom w:val="none" w:sz="0" w:space="0" w:color="auto"/>
        <w:right w:val="none" w:sz="0" w:space="0" w:color="auto"/>
      </w:divBdr>
    </w:div>
    <w:div w:id="744037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1295</Words>
  <Characters>7387</Characters>
  <Application>Microsoft Office Word</Application>
  <DocSecurity>0</DocSecurity>
  <Lines>61</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Zanichelli</dc:creator>
  <cp:keywords/>
  <dc:description/>
  <cp:lastModifiedBy>Zanichelli</cp:lastModifiedBy>
  <cp:revision>1</cp:revision>
  <dcterms:created xsi:type="dcterms:W3CDTF">2025-09-27T07:00:00Z</dcterms:created>
  <dcterms:modified xsi:type="dcterms:W3CDTF">2025-09-27T07:03:00Z</dcterms:modified>
</cp:coreProperties>
</file>