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B183C" w:rsidRPr="00EB183C" w:rsidRDefault="00EB183C" w:rsidP="00EB183C">
      <w:pPr>
        <w:pStyle w:val="NormaleWeb"/>
        <w:spacing w:before="0" w:beforeAutospacing="0" w:after="0" w:afterAutospacing="0"/>
        <w:jc w:val="center"/>
        <w:rPr>
          <w:rStyle w:val="Enfasigrassetto"/>
          <w:rFonts w:ascii="Segoe UI" w:hAnsi="Segoe UI" w:cs="Segoe UI"/>
          <w:bdr w:val="single" w:sz="2" w:space="0" w:color="auto" w:frame="1"/>
        </w:rPr>
      </w:pPr>
      <w:r w:rsidRPr="00EB183C">
        <w:rPr>
          <w:rStyle w:val="Enfasigrassetto"/>
          <w:rFonts w:ascii="Segoe UI" w:hAnsi="Segoe UI" w:cs="Segoe UI"/>
          <w:bdr w:val="single" w:sz="2" w:space="0" w:color="auto" w:frame="1"/>
        </w:rPr>
        <w:t>REPORT ANALITICO: "PRINCIPI DI ECONOMIA"</w:t>
      </w:r>
      <w:r w:rsidRPr="00EB183C">
        <w:rPr>
          <w:rStyle w:val="Enfasigrassetto"/>
          <w:rFonts w:ascii="Segoe UI" w:hAnsi="Segoe UI" w:cs="Segoe UI"/>
          <w:bdr w:val="single" w:sz="2" w:space="0" w:color="auto" w:frame="1"/>
        </w:rPr>
        <w:t xml:space="preserve"> - FRANK, BERNANKE</w:t>
      </w:r>
    </w:p>
    <w:p w:rsidR="00EB183C" w:rsidRPr="00EB183C" w:rsidRDefault="00EB183C" w:rsidP="00EB183C">
      <w:pPr>
        <w:pStyle w:val="NormaleWeb"/>
        <w:spacing w:before="0" w:beforeAutospacing="0" w:after="0" w:afterAutospacing="0"/>
        <w:jc w:val="both"/>
        <w:rPr>
          <w:rFonts w:ascii="Segoe UI" w:hAnsi="Segoe UI" w:cs="Segoe UI"/>
          <w:sz w:val="20"/>
          <w:szCs w:val="20"/>
        </w:rPr>
      </w:pPr>
    </w:p>
    <w:p w:rsidR="00EB183C" w:rsidRPr="00EB183C" w:rsidRDefault="00EB183C" w:rsidP="00EB183C">
      <w:pPr>
        <w:pStyle w:val="NormaleWeb"/>
        <w:spacing w:before="0" w:beforeAutospacing="0" w:after="0" w:afterAutospacing="0"/>
        <w:jc w:val="both"/>
        <w:rPr>
          <w:rFonts w:ascii="Segoe UI" w:hAnsi="Segoe UI" w:cs="Segoe UI"/>
          <w:sz w:val="20"/>
          <w:szCs w:val="20"/>
        </w:rPr>
      </w:pPr>
      <w:r w:rsidRPr="00EB183C">
        <w:rPr>
          <w:rStyle w:val="Enfasigrassetto"/>
          <w:rFonts w:ascii="Segoe UI" w:hAnsi="Segoe UI" w:cs="Segoe UI"/>
          <w:sz w:val="20"/>
          <w:szCs w:val="20"/>
          <w:bdr w:val="single" w:sz="2" w:space="0" w:color="auto" w:frame="1"/>
        </w:rPr>
        <w:t>Inquadramento Generale dell'Opera</w:t>
      </w:r>
    </w:p>
    <w:p w:rsidR="00EB183C" w:rsidRPr="00EB183C" w:rsidRDefault="00EB183C" w:rsidP="00EB183C">
      <w:pPr>
        <w:pStyle w:val="NormaleWeb"/>
        <w:spacing w:before="0" w:beforeAutospacing="0" w:after="0" w:afterAutospacing="0"/>
        <w:jc w:val="both"/>
        <w:rPr>
          <w:rFonts w:ascii="Segoe UI" w:hAnsi="Segoe UI" w:cs="Segoe UI"/>
          <w:sz w:val="20"/>
          <w:szCs w:val="20"/>
        </w:rPr>
      </w:pPr>
      <w:r w:rsidRPr="00EB183C">
        <w:rPr>
          <w:rFonts w:ascii="Segoe UI" w:hAnsi="Segoe UI" w:cs="Segoe UI"/>
          <w:sz w:val="20"/>
          <w:szCs w:val="20"/>
        </w:rPr>
        <w:t xml:space="preserve">Il manuale di Frank e </w:t>
      </w:r>
      <w:proofErr w:type="spellStart"/>
      <w:r w:rsidRPr="00EB183C">
        <w:rPr>
          <w:rFonts w:ascii="Segoe UI" w:hAnsi="Segoe UI" w:cs="Segoe UI"/>
          <w:sz w:val="20"/>
          <w:szCs w:val="20"/>
        </w:rPr>
        <w:t>Bernanke</w:t>
      </w:r>
      <w:proofErr w:type="spellEnd"/>
      <w:r w:rsidRPr="00EB183C">
        <w:rPr>
          <w:rFonts w:ascii="Segoe UI" w:hAnsi="Segoe UI" w:cs="Segoe UI"/>
          <w:sz w:val="20"/>
          <w:szCs w:val="20"/>
        </w:rPr>
        <w:t xml:space="preserve"> rappresenta un approccio distintivo e metodologicamente innovativo all'insegnamento dell'economia, caratterizzato da una filosofia pedagogica che privilegia il ragionamento economico applicato rispetto alla mera esposizione teorica. L'architettura </w:t>
      </w:r>
      <w:proofErr w:type="spellStart"/>
      <w:r w:rsidRPr="00EB183C">
        <w:rPr>
          <w:rFonts w:ascii="Segoe UI" w:hAnsi="Segoe UI" w:cs="Segoe UI"/>
          <w:sz w:val="20"/>
          <w:szCs w:val="20"/>
        </w:rPr>
        <w:t>ottapartita</w:t>
      </w:r>
      <w:proofErr w:type="spellEnd"/>
      <w:r w:rsidRPr="00EB183C">
        <w:rPr>
          <w:rFonts w:ascii="Segoe UI" w:hAnsi="Segoe UI" w:cs="Segoe UI"/>
          <w:sz w:val="20"/>
          <w:szCs w:val="20"/>
        </w:rPr>
        <w:t xml:space="preserve"> dell'opera rivela una strategia didattica sofisticata che procede dai principi fondamentali del pensiero economico alle applicazioni più complesse dell'economia internazionale e delle crisi contemporanee.</w:t>
      </w:r>
    </w:p>
    <w:p w:rsidR="00EB183C" w:rsidRPr="00EB183C" w:rsidRDefault="00EB183C" w:rsidP="00EB183C">
      <w:pPr>
        <w:pStyle w:val="NormaleWeb"/>
        <w:spacing w:before="0" w:beforeAutospacing="0" w:after="0" w:afterAutospacing="0"/>
        <w:jc w:val="both"/>
        <w:rPr>
          <w:rFonts w:ascii="Segoe UI" w:hAnsi="Segoe UI" w:cs="Segoe UI"/>
          <w:sz w:val="20"/>
          <w:szCs w:val="20"/>
        </w:rPr>
      </w:pPr>
      <w:r w:rsidRPr="00EB183C">
        <w:rPr>
          <w:rFonts w:ascii="Segoe UI" w:hAnsi="Segoe UI" w:cs="Segoe UI"/>
          <w:sz w:val="20"/>
          <w:szCs w:val="20"/>
        </w:rPr>
        <w:t>La struttura del testo è costruita attorno al concetto centrale del "naturalismo economico" (capitolo 1.8), che rappresenta un tentativo di fondare l'analisi economica su principi comportamentali osservabili empiricamente. Questa impostazione si riflette nella progressione dai "Concetti Fondamentali" (Parte 1) attraverso l'analisi della "Concorrenza e Mano Invisibile" (Parte 2), fino alle "Imperfezioni e Fallimenti del Mercato" (Parte 3), per poi sviluppare temi avanzati come economia comportamentale e integrazione internazionale.</w:t>
      </w:r>
    </w:p>
    <w:p w:rsidR="00EB183C" w:rsidRDefault="00EB183C" w:rsidP="00EB183C">
      <w:pPr>
        <w:pStyle w:val="NormaleWeb"/>
        <w:spacing w:before="0" w:beforeAutospacing="0" w:after="0" w:afterAutospacing="0"/>
        <w:jc w:val="both"/>
        <w:rPr>
          <w:rFonts w:ascii="Segoe UI" w:hAnsi="Segoe UI" w:cs="Segoe UI"/>
          <w:sz w:val="20"/>
          <w:szCs w:val="20"/>
        </w:rPr>
      </w:pPr>
      <w:r w:rsidRPr="00EB183C">
        <w:rPr>
          <w:rFonts w:ascii="Segoe UI" w:hAnsi="Segoe UI" w:cs="Segoe UI"/>
          <w:sz w:val="20"/>
          <w:szCs w:val="20"/>
        </w:rPr>
        <w:t>L'innovazione principale risiede nell'integrazione sistematica di elementi di economia comportamentale (Capitolo 15) e teoria dei giochi (Capitolo 9) nel curriculum introduttivo, anticipando sviluppi che solo recentemente sono entrati nei manuali standard. La presenza di un capitolo dedicato all'economia della pandemia (Capitolo 32) dimostra l'attenzione degli autori agli sviluppi economici contemporanei.</w:t>
      </w:r>
    </w:p>
    <w:p w:rsidR="00EB183C" w:rsidRPr="00EB183C" w:rsidRDefault="00EB183C" w:rsidP="00EB183C">
      <w:pPr>
        <w:pStyle w:val="NormaleWeb"/>
        <w:spacing w:before="0" w:beforeAutospacing="0" w:after="0" w:afterAutospacing="0"/>
        <w:jc w:val="both"/>
        <w:rPr>
          <w:rFonts w:ascii="Segoe UI" w:hAnsi="Segoe UI" w:cs="Segoe UI"/>
          <w:sz w:val="20"/>
          <w:szCs w:val="20"/>
        </w:rPr>
      </w:pPr>
    </w:p>
    <w:p w:rsidR="00EB183C" w:rsidRPr="00EB183C" w:rsidRDefault="00EB183C" w:rsidP="00EB183C">
      <w:pPr>
        <w:pStyle w:val="NormaleWeb"/>
        <w:spacing w:before="0" w:beforeAutospacing="0" w:after="0" w:afterAutospacing="0"/>
        <w:jc w:val="both"/>
        <w:rPr>
          <w:rFonts w:ascii="Segoe UI" w:hAnsi="Segoe UI" w:cs="Segoe UI"/>
          <w:sz w:val="20"/>
          <w:szCs w:val="20"/>
        </w:rPr>
      </w:pPr>
      <w:r w:rsidRPr="00EB183C">
        <w:rPr>
          <w:rStyle w:val="Enfasigrassetto"/>
          <w:rFonts w:ascii="Segoe UI" w:hAnsi="Segoe UI" w:cs="Segoe UI"/>
          <w:sz w:val="20"/>
          <w:szCs w:val="20"/>
          <w:bdr w:val="single" w:sz="2" w:space="0" w:color="auto" w:frame="1"/>
        </w:rPr>
        <w:t>Scuole di Pensiero Economiche di Riferimento</w:t>
      </w:r>
    </w:p>
    <w:p w:rsidR="00EB183C" w:rsidRPr="00EB183C" w:rsidRDefault="00EB183C" w:rsidP="00EB183C">
      <w:pPr>
        <w:pStyle w:val="NormaleWeb"/>
        <w:spacing w:before="0" w:beforeAutospacing="0" w:after="0" w:afterAutospacing="0"/>
        <w:jc w:val="both"/>
        <w:rPr>
          <w:rFonts w:ascii="Segoe UI" w:hAnsi="Segoe UI" w:cs="Segoe UI"/>
          <w:sz w:val="20"/>
          <w:szCs w:val="20"/>
        </w:rPr>
      </w:pPr>
      <w:r w:rsidRPr="00EB183C">
        <w:rPr>
          <w:rFonts w:ascii="Segoe UI" w:hAnsi="Segoe UI" w:cs="Segoe UI"/>
          <w:sz w:val="20"/>
          <w:szCs w:val="20"/>
        </w:rPr>
        <w:t xml:space="preserve">L'approccio teorico di Frank e </w:t>
      </w:r>
      <w:proofErr w:type="spellStart"/>
      <w:r w:rsidRPr="00EB183C">
        <w:rPr>
          <w:rFonts w:ascii="Segoe UI" w:hAnsi="Segoe UI" w:cs="Segoe UI"/>
          <w:sz w:val="20"/>
          <w:szCs w:val="20"/>
        </w:rPr>
        <w:t>Bernanke</w:t>
      </w:r>
      <w:proofErr w:type="spellEnd"/>
      <w:r w:rsidRPr="00EB183C">
        <w:rPr>
          <w:rFonts w:ascii="Segoe UI" w:hAnsi="Segoe UI" w:cs="Segoe UI"/>
          <w:sz w:val="20"/>
          <w:szCs w:val="20"/>
        </w:rPr>
        <w:t xml:space="preserve"> è caratterizzato da un eclettismo metodologico sofisticato che integra diverse tradizioni di pensiero economico. Il fondamento rimane solidamente neoclassico, come evidenziato dal capitolo 2 sul vantaggio comparativo e dalla sezione sulla "mano invisibile" (Capitolo 7), che presenta la tradizione smithiana in forma moderna.</w:t>
      </w:r>
    </w:p>
    <w:p w:rsidR="00EB183C" w:rsidRPr="00EB183C" w:rsidRDefault="00EB183C" w:rsidP="00EB183C">
      <w:pPr>
        <w:pStyle w:val="NormaleWeb"/>
        <w:spacing w:before="0" w:beforeAutospacing="0" w:after="0" w:afterAutospacing="0"/>
        <w:jc w:val="both"/>
        <w:rPr>
          <w:rFonts w:ascii="Segoe UI" w:hAnsi="Segoe UI" w:cs="Segoe UI"/>
          <w:sz w:val="20"/>
          <w:szCs w:val="20"/>
        </w:rPr>
      </w:pPr>
      <w:r w:rsidRPr="00EB183C">
        <w:rPr>
          <w:rFonts w:ascii="Segoe UI" w:hAnsi="Segoe UI" w:cs="Segoe UI"/>
          <w:sz w:val="20"/>
          <w:szCs w:val="20"/>
        </w:rPr>
        <w:t xml:space="preserve">Tuttavia, l'opera presenta significative aperture verso approcci post-neoclassici. Il Capitolo 15 sull'economia comportamentale incorpora sistematicamente i contributi di </w:t>
      </w:r>
      <w:proofErr w:type="spellStart"/>
      <w:r w:rsidRPr="00EB183C">
        <w:rPr>
          <w:rFonts w:ascii="Segoe UI" w:hAnsi="Segoe UI" w:cs="Segoe UI"/>
          <w:sz w:val="20"/>
          <w:szCs w:val="20"/>
        </w:rPr>
        <w:t>Kahneman</w:t>
      </w:r>
      <w:proofErr w:type="spellEnd"/>
      <w:r w:rsidRPr="00EB183C">
        <w:rPr>
          <w:rFonts w:ascii="Segoe UI" w:hAnsi="Segoe UI" w:cs="Segoe UI"/>
          <w:sz w:val="20"/>
          <w:szCs w:val="20"/>
        </w:rPr>
        <w:t xml:space="preserve">, </w:t>
      </w:r>
      <w:proofErr w:type="spellStart"/>
      <w:r w:rsidRPr="00EB183C">
        <w:rPr>
          <w:rFonts w:ascii="Segoe UI" w:hAnsi="Segoe UI" w:cs="Segoe UI"/>
          <w:sz w:val="20"/>
          <w:szCs w:val="20"/>
        </w:rPr>
        <w:t>Tversky</w:t>
      </w:r>
      <w:proofErr w:type="spellEnd"/>
      <w:r w:rsidRPr="00EB183C">
        <w:rPr>
          <w:rFonts w:ascii="Segoe UI" w:hAnsi="Segoe UI" w:cs="Segoe UI"/>
          <w:sz w:val="20"/>
          <w:szCs w:val="20"/>
        </w:rPr>
        <w:t xml:space="preserve"> e della scuola comportamentale, mentre il Capitolo 9 sulla teoria dei giochi riflette l'influenza della "nuova economia industriale" sviluppata da autori come </w:t>
      </w:r>
      <w:proofErr w:type="spellStart"/>
      <w:r w:rsidRPr="00EB183C">
        <w:rPr>
          <w:rFonts w:ascii="Segoe UI" w:hAnsi="Segoe UI" w:cs="Segoe UI"/>
          <w:sz w:val="20"/>
          <w:szCs w:val="20"/>
        </w:rPr>
        <w:t>Tirole</w:t>
      </w:r>
      <w:proofErr w:type="spellEnd"/>
      <w:r w:rsidRPr="00EB183C">
        <w:rPr>
          <w:rFonts w:ascii="Segoe UI" w:hAnsi="Segoe UI" w:cs="Segoe UI"/>
          <w:sz w:val="20"/>
          <w:szCs w:val="20"/>
        </w:rPr>
        <w:t xml:space="preserve"> e </w:t>
      </w:r>
      <w:proofErr w:type="spellStart"/>
      <w:r w:rsidRPr="00EB183C">
        <w:rPr>
          <w:rFonts w:ascii="Segoe UI" w:hAnsi="Segoe UI" w:cs="Segoe UI"/>
          <w:sz w:val="20"/>
          <w:szCs w:val="20"/>
        </w:rPr>
        <w:t>Fudenberg</w:t>
      </w:r>
      <w:proofErr w:type="spellEnd"/>
      <w:r w:rsidRPr="00EB183C">
        <w:rPr>
          <w:rFonts w:ascii="Segoe UI" w:hAnsi="Segoe UI" w:cs="Segoe UI"/>
          <w:sz w:val="20"/>
          <w:szCs w:val="20"/>
        </w:rPr>
        <w:t>.</w:t>
      </w:r>
    </w:p>
    <w:p w:rsidR="00EB183C" w:rsidRDefault="00EB183C" w:rsidP="00EB183C">
      <w:pPr>
        <w:pStyle w:val="NormaleWeb"/>
        <w:spacing w:before="0" w:beforeAutospacing="0" w:after="0" w:afterAutospacing="0"/>
        <w:jc w:val="both"/>
        <w:rPr>
          <w:rFonts w:ascii="Segoe UI" w:hAnsi="Segoe UI" w:cs="Segoe UI"/>
          <w:sz w:val="20"/>
          <w:szCs w:val="20"/>
        </w:rPr>
      </w:pPr>
      <w:r w:rsidRPr="00EB183C">
        <w:rPr>
          <w:rFonts w:ascii="Segoe UI" w:hAnsi="Segoe UI" w:cs="Segoe UI"/>
          <w:sz w:val="20"/>
          <w:szCs w:val="20"/>
        </w:rPr>
        <w:t>L'approccio macroeconomico è distintamente keynesiano, con il modello reddito-spesa (Capitolo 23) che costituisce il core dell'analisi di breve periodo. Tuttavia, l'integrazione del modello IS-LM (Capitolo 25) e AD-AS (Capitolo 28) indica un approccio che abbraccia la sintesi neoclassica moderna. La presenza di capitoli specifici su politica fiscale e monetaria riflette l'influenza della macroeconomia delle politiche di stabilizzazione.</w:t>
      </w:r>
    </w:p>
    <w:p w:rsidR="00EB183C" w:rsidRPr="00EB183C" w:rsidRDefault="00EB183C" w:rsidP="00EB183C">
      <w:pPr>
        <w:pStyle w:val="NormaleWeb"/>
        <w:spacing w:before="0" w:beforeAutospacing="0" w:after="0" w:afterAutospacing="0"/>
        <w:jc w:val="both"/>
        <w:rPr>
          <w:rFonts w:ascii="Segoe UI" w:hAnsi="Segoe UI" w:cs="Segoe UI"/>
          <w:sz w:val="20"/>
          <w:szCs w:val="20"/>
        </w:rPr>
      </w:pPr>
    </w:p>
    <w:p w:rsidR="00EB183C" w:rsidRPr="00EB183C" w:rsidRDefault="00EB183C" w:rsidP="00EB183C">
      <w:pPr>
        <w:pStyle w:val="NormaleWeb"/>
        <w:spacing w:before="0" w:beforeAutospacing="0" w:after="0" w:afterAutospacing="0"/>
        <w:jc w:val="both"/>
        <w:rPr>
          <w:rFonts w:ascii="Segoe UI" w:hAnsi="Segoe UI" w:cs="Segoe UI"/>
          <w:sz w:val="20"/>
          <w:szCs w:val="20"/>
        </w:rPr>
      </w:pPr>
      <w:r w:rsidRPr="00EB183C">
        <w:rPr>
          <w:rStyle w:val="Enfasigrassetto"/>
          <w:rFonts w:ascii="Segoe UI" w:hAnsi="Segoe UI" w:cs="Segoe UI"/>
          <w:sz w:val="20"/>
          <w:szCs w:val="20"/>
          <w:bdr w:val="single" w:sz="2" w:space="0" w:color="auto" w:frame="1"/>
        </w:rPr>
        <w:t>Modelli Economici Micro e Macroeconomici</w:t>
      </w:r>
    </w:p>
    <w:p w:rsidR="00EB183C" w:rsidRPr="00EB183C" w:rsidRDefault="00EB183C" w:rsidP="00EB183C">
      <w:pPr>
        <w:pStyle w:val="NormaleWeb"/>
        <w:spacing w:before="0" w:beforeAutospacing="0" w:after="0" w:afterAutospacing="0"/>
        <w:jc w:val="both"/>
        <w:rPr>
          <w:rFonts w:ascii="Segoe UI" w:hAnsi="Segoe UI" w:cs="Segoe UI"/>
          <w:sz w:val="20"/>
          <w:szCs w:val="20"/>
        </w:rPr>
      </w:pPr>
      <w:r w:rsidRPr="00EB183C">
        <w:rPr>
          <w:rFonts w:ascii="Segoe UI" w:hAnsi="Segoe UI" w:cs="Segoe UI"/>
          <w:sz w:val="20"/>
          <w:szCs w:val="20"/>
        </w:rPr>
        <w:t>La struttura microeconomica presenta una progressione particolarmente sofisticata che va oltre i modelli standard. Il Capitolo 5 sulla domanda sviluppa il modello di scelta del consumatore attraverso la teoria dell'utilità marginale e la "regola della spesa razionale", fornendo una base rigorosa ma accessibile per l'analisi del comportamento del consumatore.</w:t>
      </w:r>
    </w:p>
    <w:p w:rsidR="00EB183C" w:rsidRPr="00EB183C" w:rsidRDefault="00EB183C" w:rsidP="00EB183C">
      <w:pPr>
        <w:pStyle w:val="NormaleWeb"/>
        <w:spacing w:before="0" w:beforeAutospacing="0" w:after="0" w:afterAutospacing="0"/>
        <w:jc w:val="both"/>
        <w:rPr>
          <w:rFonts w:ascii="Segoe UI" w:hAnsi="Segoe UI" w:cs="Segoe UI"/>
          <w:sz w:val="20"/>
          <w:szCs w:val="20"/>
        </w:rPr>
      </w:pPr>
      <w:r w:rsidRPr="00EB183C">
        <w:rPr>
          <w:rFonts w:ascii="Segoe UI" w:hAnsi="Segoe UI" w:cs="Segoe UI"/>
          <w:sz w:val="20"/>
          <w:szCs w:val="20"/>
        </w:rPr>
        <w:t>Il Capitolo 6 sull'offerta in concorrenza perfetta presenta la teoria dell'impresa attraverso l'approccio della massimizzazione del profitto con la condizione P=MC, mentre i capitoli 8-9 sviluppano modelli avanzati di concorrenza imperfetta, monopolio e oligopolio. L'innovazione principale risiede nell'integrazione sistematica della teoria dei giochi nell'analisi strategica, rendendo accessibili concetti come l'equilibrio di Nash e il dilemma del prigioniero.</w:t>
      </w:r>
    </w:p>
    <w:p w:rsidR="00EB183C" w:rsidRDefault="00EB183C" w:rsidP="00EB183C">
      <w:pPr>
        <w:pStyle w:val="NormaleWeb"/>
        <w:spacing w:before="0" w:beforeAutospacing="0" w:after="0" w:afterAutospacing="0"/>
        <w:jc w:val="both"/>
        <w:rPr>
          <w:rFonts w:ascii="Segoe UI" w:hAnsi="Segoe UI" w:cs="Segoe UI"/>
          <w:sz w:val="20"/>
          <w:szCs w:val="20"/>
        </w:rPr>
      </w:pPr>
      <w:r w:rsidRPr="00EB183C">
        <w:rPr>
          <w:rFonts w:ascii="Segoe UI" w:hAnsi="Segoe UI" w:cs="Segoe UI"/>
          <w:sz w:val="20"/>
          <w:szCs w:val="20"/>
        </w:rPr>
        <w:t xml:space="preserve">La sezione macroeconomica presenta una sequenza logica che parte dalla misurazione degli aggregati (Capitoli 17-19) per sviluppare prima l'analisi di lungo periodo (Parte 6: crescita, risparmio, investimenti) e poi quella di breve periodo (Parte 7: fluttuazioni, politiche di stabilizzazione). Il modello reddito-spesa keynesiano (Capitolo 23) costituisce il fondamento dell'analisi di breve periodo, integrato successivamente con il modello IS-LM (Capitolo 25) e il </w:t>
      </w:r>
      <w:proofErr w:type="spellStart"/>
      <w:r w:rsidRPr="00EB183C">
        <w:rPr>
          <w:rFonts w:ascii="Segoe UI" w:hAnsi="Segoe UI" w:cs="Segoe UI"/>
          <w:sz w:val="20"/>
          <w:szCs w:val="20"/>
        </w:rPr>
        <w:t>framework</w:t>
      </w:r>
      <w:proofErr w:type="spellEnd"/>
      <w:r w:rsidRPr="00EB183C">
        <w:rPr>
          <w:rFonts w:ascii="Segoe UI" w:hAnsi="Segoe UI" w:cs="Segoe UI"/>
          <w:sz w:val="20"/>
          <w:szCs w:val="20"/>
        </w:rPr>
        <w:t xml:space="preserve"> AD-AS (Capitolo 28).</w:t>
      </w:r>
    </w:p>
    <w:p w:rsidR="00EB183C" w:rsidRPr="00EB183C" w:rsidRDefault="00EB183C" w:rsidP="00EB183C">
      <w:pPr>
        <w:pStyle w:val="NormaleWeb"/>
        <w:spacing w:before="0" w:beforeAutospacing="0" w:after="0" w:afterAutospacing="0"/>
        <w:jc w:val="both"/>
        <w:rPr>
          <w:rFonts w:ascii="Segoe UI" w:hAnsi="Segoe UI" w:cs="Segoe UI"/>
          <w:sz w:val="20"/>
          <w:szCs w:val="20"/>
        </w:rPr>
      </w:pPr>
    </w:p>
    <w:p w:rsidR="00EB183C" w:rsidRPr="00EB183C" w:rsidRDefault="00EB183C" w:rsidP="00EB183C">
      <w:pPr>
        <w:pStyle w:val="NormaleWeb"/>
        <w:spacing w:before="0" w:beforeAutospacing="0" w:after="0" w:afterAutospacing="0"/>
        <w:jc w:val="both"/>
        <w:rPr>
          <w:rFonts w:ascii="Segoe UI" w:hAnsi="Segoe UI" w:cs="Segoe UI"/>
          <w:sz w:val="20"/>
          <w:szCs w:val="20"/>
        </w:rPr>
      </w:pPr>
      <w:r w:rsidRPr="00EB183C">
        <w:rPr>
          <w:rStyle w:val="Enfasigrassetto"/>
          <w:rFonts w:ascii="Segoe UI" w:hAnsi="Segoe UI" w:cs="Segoe UI"/>
          <w:sz w:val="20"/>
          <w:szCs w:val="20"/>
          <w:bdr w:val="single" w:sz="2" w:space="0" w:color="auto" w:frame="1"/>
        </w:rPr>
        <w:t>Modelli di Crescita Economica</w:t>
      </w:r>
    </w:p>
    <w:p w:rsidR="00EB183C" w:rsidRPr="00EB183C" w:rsidRDefault="00EB183C" w:rsidP="00EB183C">
      <w:pPr>
        <w:pStyle w:val="NormaleWeb"/>
        <w:spacing w:before="0" w:beforeAutospacing="0" w:after="0" w:afterAutospacing="0"/>
        <w:jc w:val="both"/>
        <w:rPr>
          <w:rFonts w:ascii="Segoe UI" w:hAnsi="Segoe UI" w:cs="Segoe UI"/>
          <w:sz w:val="20"/>
          <w:szCs w:val="20"/>
        </w:rPr>
      </w:pPr>
      <w:r w:rsidRPr="00EB183C">
        <w:rPr>
          <w:rFonts w:ascii="Segoe UI" w:hAnsi="Segoe UI" w:cs="Segoe UI"/>
          <w:sz w:val="20"/>
          <w:szCs w:val="20"/>
        </w:rPr>
        <w:t xml:space="preserve">La trattazione della crescita economica è particolarmente approfondita e moderna, concentrata principalmente nel Capitolo 20. L'approccio integra elementi del modello di </w:t>
      </w:r>
      <w:proofErr w:type="spellStart"/>
      <w:r w:rsidRPr="00EB183C">
        <w:rPr>
          <w:rFonts w:ascii="Segoe UI" w:hAnsi="Segoe UI" w:cs="Segoe UI"/>
          <w:sz w:val="20"/>
          <w:szCs w:val="20"/>
        </w:rPr>
        <w:t>Solow</w:t>
      </w:r>
      <w:proofErr w:type="spellEnd"/>
      <w:r w:rsidRPr="00EB183C">
        <w:rPr>
          <w:rFonts w:ascii="Segoe UI" w:hAnsi="Segoe UI" w:cs="Segoe UI"/>
          <w:sz w:val="20"/>
          <w:szCs w:val="20"/>
        </w:rPr>
        <w:t xml:space="preserve"> tradizionale con contributi della teoria della crescita endogena, enfatizzando il ruolo cruciale della produttività media del lavoro come determinante del tenore di vita.</w:t>
      </w:r>
    </w:p>
    <w:p w:rsidR="00EB183C" w:rsidRPr="00EB183C" w:rsidRDefault="00EB183C" w:rsidP="00EB183C">
      <w:pPr>
        <w:pStyle w:val="NormaleWeb"/>
        <w:spacing w:before="0" w:beforeAutospacing="0" w:after="0" w:afterAutospacing="0"/>
        <w:jc w:val="both"/>
        <w:rPr>
          <w:rFonts w:ascii="Segoe UI" w:hAnsi="Segoe UI" w:cs="Segoe UI"/>
          <w:sz w:val="20"/>
          <w:szCs w:val="20"/>
        </w:rPr>
      </w:pPr>
      <w:r w:rsidRPr="00EB183C">
        <w:rPr>
          <w:rFonts w:ascii="Segoe UI" w:hAnsi="Segoe UI" w:cs="Segoe UI"/>
          <w:sz w:val="20"/>
          <w:szCs w:val="20"/>
        </w:rPr>
        <w:lastRenderedPageBreak/>
        <w:t>Il modello presentato include sistematicamente fattori come capitale umano, capitale fisico, tecnologia, imprenditorialità e contesto istituzionale, riflettendo un approccio che va oltre la crescita puramente quantitativa per includere aspetti qualitativi dello sviluppo. La sezione sui "costi della crescita economica" (20.6) e sui "limiti alla crescita" (20.8) indica un approccio equilibrato che considera sia i benefici che i potenziali costi ambientali e sociali della crescita.</w:t>
      </w:r>
    </w:p>
    <w:p w:rsidR="00EB183C" w:rsidRDefault="00EB183C" w:rsidP="00EB183C">
      <w:pPr>
        <w:pStyle w:val="NormaleWeb"/>
        <w:spacing w:before="0" w:beforeAutospacing="0" w:after="0" w:afterAutospacing="0"/>
        <w:jc w:val="both"/>
        <w:rPr>
          <w:rFonts w:ascii="Segoe UI" w:hAnsi="Segoe UI" w:cs="Segoe UI"/>
          <w:sz w:val="20"/>
          <w:szCs w:val="20"/>
        </w:rPr>
      </w:pPr>
      <w:r w:rsidRPr="00EB183C">
        <w:rPr>
          <w:rFonts w:ascii="Segoe UI" w:hAnsi="Segoe UI" w:cs="Segoe UI"/>
          <w:sz w:val="20"/>
          <w:szCs w:val="20"/>
        </w:rPr>
        <w:t>Il Capitolo 21 su risparmio, investimenti e formazione di capitale completa l'analisi della crescita attraverso l'esame dei meccanismi di finanziamento e del ruolo del sistema finanziario nell'allocazione delle risorse. Questa integrazione tra crescita reale e aspetti finanziari rappresenta un'innovazione importante rispetto ai trattamenti tradizionali.</w:t>
      </w:r>
    </w:p>
    <w:p w:rsidR="00EB183C" w:rsidRPr="00EB183C" w:rsidRDefault="00EB183C" w:rsidP="00EB183C">
      <w:pPr>
        <w:pStyle w:val="NormaleWeb"/>
        <w:spacing w:before="0" w:beforeAutospacing="0" w:after="0" w:afterAutospacing="0"/>
        <w:jc w:val="both"/>
        <w:rPr>
          <w:rFonts w:ascii="Segoe UI" w:hAnsi="Segoe UI" w:cs="Segoe UI"/>
          <w:sz w:val="20"/>
          <w:szCs w:val="20"/>
        </w:rPr>
      </w:pPr>
    </w:p>
    <w:p w:rsidR="00EB183C" w:rsidRPr="00EB183C" w:rsidRDefault="00EB183C" w:rsidP="00EB183C">
      <w:pPr>
        <w:pStyle w:val="NormaleWeb"/>
        <w:spacing w:before="0" w:beforeAutospacing="0" w:after="0" w:afterAutospacing="0"/>
        <w:jc w:val="both"/>
        <w:rPr>
          <w:rFonts w:ascii="Segoe UI" w:hAnsi="Segoe UI" w:cs="Segoe UI"/>
          <w:sz w:val="20"/>
          <w:szCs w:val="20"/>
        </w:rPr>
      </w:pPr>
      <w:r w:rsidRPr="00EB183C">
        <w:rPr>
          <w:rStyle w:val="Enfasigrassetto"/>
          <w:rFonts w:ascii="Segoe UI" w:hAnsi="Segoe UI" w:cs="Segoe UI"/>
          <w:sz w:val="20"/>
          <w:szCs w:val="20"/>
          <w:bdr w:val="single" w:sz="2" w:space="0" w:color="auto" w:frame="1"/>
        </w:rPr>
        <w:t>Trattazione Temporale: Breve e Lungo Periodo</w:t>
      </w:r>
    </w:p>
    <w:p w:rsidR="00EB183C" w:rsidRPr="00EB183C" w:rsidRDefault="00EB183C" w:rsidP="00EB183C">
      <w:pPr>
        <w:pStyle w:val="NormaleWeb"/>
        <w:spacing w:before="0" w:beforeAutospacing="0" w:after="0" w:afterAutospacing="0"/>
        <w:jc w:val="both"/>
        <w:rPr>
          <w:rFonts w:ascii="Segoe UI" w:hAnsi="Segoe UI" w:cs="Segoe UI"/>
          <w:sz w:val="20"/>
          <w:szCs w:val="20"/>
        </w:rPr>
      </w:pPr>
      <w:r w:rsidRPr="00EB183C">
        <w:rPr>
          <w:rFonts w:ascii="Segoe UI" w:hAnsi="Segoe UI" w:cs="Segoe UI"/>
          <w:sz w:val="20"/>
          <w:szCs w:val="20"/>
        </w:rPr>
        <w:t xml:space="preserve">L'approccio temporale di Frank e </w:t>
      </w:r>
      <w:proofErr w:type="spellStart"/>
      <w:r w:rsidRPr="00EB183C">
        <w:rPr>
          <w:rFonts w:ascii="Segoe UI" w:hAnsi="Segoe UI" w:cs="Segoe UI"/>
          <w:sz w:val="20"/>
          <w:szCs w:val="20"/>
        </w:rPr>
        <w:t>Bernanke</w:t>
      </w:r>
      <w:proofErr w:type="spellEnd"/>
      <w:r w:rsidRPr="00EB183C">
        <w:rPr>
          <w:rFonts w:ascii="Segoe UI" w:hAnsi="Segoe UI" w:cs="Segoe UI"/>
          <w:sz w:val="20"/>
          <w:szCs w:val="20"/>
        </w:rPr>
        <w:t xml:space="preserve"> è particolarmente sofisticato e rappresenta una delle innovazioni principali del testo. A livello microeconomico, la distinzione temporale è sviluppata sistematicamente nel Capitolo 6 sui costi di produzione, dove si analizzano le decisioni dell'impresa nel breve periodo attraverso l'ottimizzazione con fattori fissi.</w:t>
      </w:r>
    </w:p>
    <w:p w:rsidR="00EB183C" w:rsidRPr="00EB183C" w:rsidRDefault="00EB183C" w:rsidP="00EB183C">
      <w:pPr>
        <w:pStyle w:val="NormaleWeb"/>
        <w:spacing w:before="0" w:beforeAutospacing="0" w:after="0" w:afterAutospacing="0"/>
        <w:jc w:val="both"/>
        <w:rPr>
          <w:rFonts w:ascii="Segoe UI" w:hAnsi="Segoe UI" w:cs="Segoe UI"/>
          <w:sz w:val="20"/>
          <w:szCs w:val="20"/>
        </w:rPr>
      </w:pPr>
      <w:r w:rsidRPr="00EB183C">
        <w:rPr>
          <w:rFonts w:ascii="Segoe UI" w:hAnsi="Segoe UI" w:cs="Segoe UI"/>
          <w:sz w:val="20"/>
          <w:szCs w:val="20"/>
        </w:rPr>
        <w:t>L'innovazione principale risiede nella struttura macroeconomica, dove gli autori invertono la sequenza tradizionale presentando prima l'economia del lungo periodo (Parte 6: crescita, produttività, risparmio) e poi quella del breve periodo (Parte 7: fluttuazioni, stabilizzazione). Questa scelta riflette la convinzione che la crescita costituisca il fenomeno economico fondamentale, con le fluttuazioni cicliche come deviazioni temporanee dal trend di lungo periodo.</w:t>
      </w:r>
    </w:p>
    <w:p w:rsidR="00EB183C" w:rsidRDefault="00EB183C" w:rsidP="00EB183C">
      <w:pPr>
        <w:pStyle w:val="NormaleWeb"/>
        <w:spacing w:before="0" w:beforeAutospacing="0" w:after="0" w:afterAutospacing="0"/>
        <w:jc w:val="both"/>
        <w:rPr>
          <w:rFonts w:ascii="Segoe UI" w:hAnsi="Segoe UI" w:cs="Segoe UI"/>
          <w:sz w:val="20"/>
          <w:szCs w:val="20"/>
        </w:rPr>
      </w:pPr>
      <w:r w:rsidRPr="00EB183C">
        <w:rPr>
          <w:rFonts w:ascii="Segoe UI" w:hAnsi="Segoe UI" w:cs="Segoe UI"/>
          <w:sz w:val="20"/>
          <w:szCs w:val="20"/>
        </w:rPr>
        <w:t xml:space="preserve">Il Capitolo 22 sulle fluttuazioni di breve periodo introduce esplicitamente i concetti di "produzione potenziale" e "gap di produzione", fornendo il collegamento concettuale tra analisi di lungo e breve periodo. La legge di </w:t>
      </w:r>
      <w:proofErr w:type="spellStart"/>
      <w:r w:rsidRPr="00EB183C">
        <w:rPr>
          <w:rFonts w:ascii="Segoe UI" w:hAnsi="Segoe UI" w:cs="Segoe UI"/>
          <w:sz w:val="20"/>
          <w:szCs w:val="20"/>
        </w:rPr>
        <w:t>Okun</w:t>
      </w:r>
      <w:proofErr w:type="spellEnd"/>
      <w:r w:rsidRPr="00EB183C">
        <w:rPr>
          <w:rFonts w:ascii="Segoe UI" w:hAnsi="Segoe UI" w:cs="Segoe UI"/>
          <w:sz w:val="20"/>
          <w:szCs w:val="20"/>
        </w:rPr>
        <w:t xml:space="preserve"> viene utilizzata per collegare fluttuazioni della produzione e disoccupazione ciclica.</w:t>
      </w:r>
    </w:p>
    <w:p w:rsidR="00EB183C" w:rsidRPr="00EB183C" w:rsidRDefault="00EB183C" w:rsidP="00EB183C">
      <w:pPr>
        <w:pStyle w:val="NormaleWeb"/>
        <w:spacing w:before="0" w:beforeAutospacing="0" w:after="0" w:afterAutospacing="0"/>
        <w:jc w:val="both"/>
        <w:rPr>
          <w:rFonts w:ascii="Segoe UI" w:hAnsi="Segoe UI" w:cs="Segoe UI"/>
          <w:sz w:val="20"/>
          <w:szCs w:val="20"/>
        </w:rPr>
      </w:pPr>
      <w:bookmarkStart w:id="0" w:name="_GoBack"/>
      <w:bookmarkEnd w:id="0"/>
    </w:p>
    <w:p w:rsidR="00EB183C" w:rsidRPr="00EB183C" w:rsidRDefault="00EB183C" w:rsidP="00EB183C">
      <w:pPr>
        <w:pStyle w:val="NormaleWeb"/>
        <w:spacing w:before="0" w:beforeAutospacing="0" w:after="0" w:afterAutospacing="0"/>
        <w:jc w:val="both"/>
        <w:rPr>
          <w:rFonts w:ascii="Segoe UI" w:hAnsi="Segoe UI" w:cs="Segoe UI"/>
          <w:sz w:val="20"/>
          <w:szCs w:val="20"/>
        </w:rPr>
      </w:pPr>
      <w:r w:rsidRPr="00EB183C">
        <w:rPr>
          <w:rStyle w:val="Enfasigrassetto"/>
          <w:rFonts w:ascii="Segoe UI" w:hAnsi="Segoe UI" w:cs="Segoe UI"/>
          <w:sz w:val="20"/>
          <w:szCs w:val="20"/>
          <w:bdr w:val="single" w:sz="2" w:space="0" w:color="auto" w:frame="1"/>
        </w:rPr>
        <w:t>Argomenti Non Standard e Innovazioni Didattiche</w:t>
      </w:r>
    </w:p>
    <w:p w:rsidR="00EB183C" w:rsidRPr="00EB183C" w:rsidRDefault="00EB183C" w:rsidP="00EB183C">
      <w:pPr>
        <w:pStyle w:val="NormaleWeb"/>
        <w:spacing w:before="0" w:beforeAutospacing="0" w:after="0" w:afterAutospacing="0"/>
        <w:jc w:val="both"/>
        <w:rPr>
          <w:rFonts w:ascii="Segoe UI" w:hAnsi="Segoe UI" w:cs="Segoe UI"/>
          <w:sz w:val="20"/>
          <w:szCs w:val="20"/>
        </w:rPr>
      </w:pPr>
      <w:r w:rsidRPr="00EB183C">
        <w:rPr>
          <w:rFonts w:ascii="Segoe UI" w:hAnsi="Segoe UI" w:cs="Segoe UI"/>
          <w:sz w:val="20"/>
          <w:szCs w:val="20"/>
        </w:rPr>
        <w:t>Il manuale presenta numerose innovazioni che lo distinguono nettamente dai testi tradizionali. Il Capitolo 1 sui "quattro errori comuni nel processo decisionale" rappresenta un'innovazione pedagogica importante, fornendo agli studenti strumenti pratici per evitare errori sistematici nell'applicazione del ragionamento economico.</w:t>
      </w:r>
    </w:p>
    <w:p w:rsidR="00EB183C" w:rsidRPr="00EB183C" w:rsidRDefault="00EB183C" w:rsidP="00EB183C">
      <w:pPr>
        <w:pStyle w:val="NormaleWeb"/>
        <w:spacing w:before="0" w:beforeAutospacing="0" w:after="0" w:afterAutospacing="0"/>
        <w:jc w:val="both"/>
        <w:rPr>
          <w:rFonts w:ascii="Segoe UI" w:hAnsi="Segoe UI" w:cs="Segoe UI"/>
          <w:sz w:val="20"/>
          <w:szCs w:val="20"/>
        </w:rPr>
      </w:pPr>
      <w:r w:rsidRPr="00EB183C">
        <w:rPr>
          <w:rFonts w:ascii="Segoe UI" w:hAnsi="Segoe UI" w:cs="Segoe UI"/>
          <w:sz w:val="20"/>
          <w:szCs w:val="20"/>
        </w:rPr>
        <w:t xml:space="preserve">Il Capitolo 15 sull'economia comportamentale è probabilmente unico tra i manuali introduttivi, incorporando sistematicamente euristiche cognitive, problemi di controllo degli impulsi, avversione alle perdite e altri </w:t>
      </w:r>
      <w:proofErr w:type="spellStart"/>
      <w:r w:rsidRPr="00EB183C">
        <w:rPr>
          <w:rFonts w:ascii="Segoe UI" w:hAnsi="Segoe UI" w:cs="Segoe UI"/>
          <w:sz w:val="20"/>
          <w:szCs w:val="20"/>
        </w:rPr>
        <w:t>bias</w:t>
      </w:r>
      <w:proofErr w:type="spellEnd"/>
      <w:r w:rsidRPr="00EB183C">
        <w:rPr>
          <w:rFonts w:ascii="Segoe UI" w:hAnsi="Segoe UI" w:cs="Segoe UI"/>
          <w:sz w:val="20"/>
          <w:szCs w:val="20"/>
        </w:rPr>
        <w:t xml:space="preserve"> comportamentali. Questa integrazione riflette l'influenza crescente dell'economia comportamentale e prepara gli studenti a comprendere le limitazioni del modello di razionalità perfetta.</w:t>
      </w:r>
    </w:p>
    <w:p w:rsidR="00EB183C" w:rsidRPr="00EB183C" w:rsidRDefault="00EB183C" w:rsidP="00EB183C">
      <w:pPr>
        <w:pStyle w:val="NormaleWeb"/>
        <w:spacing w:before="0" w:beforeAutospacing="0" w:after="0" w:afterAutospacing="0"/>
        <w:jc w:val="both"/>
        <w:rPr>
          <w:rFonts w:ascii="Segoe UI" w:hAnsi="Segoe UI" w:cs="Segoe UI"/>
          <w:sz w:val="20"/>
          <w:szCs w:val="20"/>
        </w:rPr>
      </w:pPr>
      <w:r w:rsidRPr="00EB183C">
        <w:rPr>
          <w:rFonts w:ascii="Segoe UI" w:hAnsi="Segoe UI" w:cs="Segoe UI"/>
          <w:sz w:val="20"/>
          <w:szCs w:val="20"/>
        </w:rPr>
        <w:t>Il Capitolo 11 sull'economia dell'informazione presenta argomenti tipicamente riservati a corsi avanzati, come il "modello dei bidoni", selezione avversa, azzardo morale e discriminazione statistica. L'inclusione di questi temi in un testo introduttivo riflette il riconoscimento che l'informazione asimmetrica è centrale per comprendere il funzionamento dei mercati moderni.</w:t>
      </w:r>
    </w:p>
    <w:p w:rsidR="00EB183C" w:rsidRPr="00EB183C" w:rsidRDefault="00EB183C" w:rsidP="00EB183C">
      <w:pPr>
        <w:pStyle w:val="NormaleWeb"/>
        <w:spacing w:before="0" w:beforeAutospacing="0" w:after="0" w:afterAutospacing="0"/>
        <w:jc w:val="both"/>
        <w:rPr>
          <w:rFonts w:ascii="Segoe UI" w:hAnsi="Segoe UI" w:cs="Segoe UI"/>
          <w:sz w:val="20"/>
          <w:szCs w:val="20"/>
        </w:rPr>
      </w:pPr>
      <w:r w:rsidRPr="00EB183C">
        <w:rPr>
          <w:rFonts w:ascii="Segoe UI" w:hAnsi="Segoe UI" w:cs="Segoe UI"/>
          <w:sz w:val="20"/>
          <w:szCs w:val="20"/>
        </w:rPr>
        <w:t xml:space="preserve">Il Capitolo 12 sulle esternalità presenta innovazioni importanti come l'analisi delle "esternalità posizionali" e delle "corse agli armamenti di posizione", concetti sviluppati dallo stesso Frank che collegano economia e psicologia sociale. L'inclusione di argomenti come carbon </w:t>
      </w:r>
      <w:proofErr w:type="spellStart"/>
      <w:r w:rsidRPr="00EB183C">
        <w:rPr>
          <w:rFonts w:ascii="Segoe UI" w:hAnsi="Segoe UI" w:cs="Segoe UI"/>
          <w:sz w:val="20"/>
          <w:szCs w:val="20"/>
        </w:rPr>
        <w:t>tax</w:t>
      </w:r>
      <w:proofErr w:type="spellEnd"/>
      <w:r w:rsidRPr="00EB183C">
        <w:rPr>
          <w:rFonts w:ascii="Segoe UI" w:hAnsi="Segoe UI" w:cs="Segoe UI"/>
          <w:sz w:val="20"/>
          <w:szCs w:val="20"/>
        </w:rPr>
        <w:t xml:space="preserve"> e permessi di emissione trasferibili riflette l'attenzione alle problematiche ambientali contemporanee.</w:t>
      </w:r>
    </w:p>
    <w:p w:rsidR="00EB183C" w:rsidRPr="00EB183C" w:rsidRDefault="00EB183C" w:rsidP="00EB183C">
      <w:pPr>
        <w:pStyle w:val="NormaleWeb"/>
        <w:spacing w:before="0" w:beforeAutospacing="0" w:after="0" w:afterAutospacing="0"/>
        <w:jc w:val="both"/>
        <w:rPr>
          <w:rFonts w:ascii="Segoe UI" w:hAnsi="Segoe UI" w:cs="Segoe UI"/>
          <w:sz w:val="20"/>
          <w:szCs w:val="20"/>
        </w:rPr>
      </w:pPr>
      <w:r w:rsidRPr="00EB183C">
        <w:rPr>
          <w:rFonts w:ascii="Segoe UI" w:hAnsi="Segoe UI" w:cs="Segoe UI"/>
          <w:sz w:val="20"/>
          <w:szCs w:val="20"/>
        </w:rPr>
        <w:t>La Parte 4 su "Commercio Internazionale e Integrazione" presenta un approccio moderno che va oltre la teoria tradizionale del commercio per includere aspetti comportamentali e di economia politica. Il Capitolo 31 sull'unione monetaria è particolarmente rilevante nel contesto europeo, mentre il Capitolo 32 sull'economia della pandemia dimostra la capacità del testo di adattarsi agli sviluppi economici contemporanei.</w:t>
      </w:r>
    </w:p>
    <w:p w:rsidR="00EB183C" w:rsidRPr="00EB183C" w:rsidRDefault="00EB183C" w:rsidP="00EB183C">
      <w:pPr>
        <w:pStyle w:val="NormaleWeb"/>
        <w:spacing w:before="0" w:beforeAutospacing="0" w:after="0" w:afterAutospacing="0"/>
        <w:jc w:val="both"/>
        <w:rPr>
          <w:rFonts w:ascii="Segoe UI" w:hAnsi="Segoe UI" w:cs="Segoe UI"/>
          <w:sz w:val="20"/>
          <w:szCs w:val="20"/>
        </w:rPr>
      </w:pPr>
      <w:r w:rsidRPr="00EB183C">
        <w:rPr>
          <w:rFonts w:ascii="Segoe UI" w:hAnsi="Segoe UI" w:cs="Segoe UI"/>
          <w:sz w:val="20"/>
          <w:szCs w:val="20"/>
        </w:rPr>
        <w:t>L'approccio metodologico complessivo è caratterizzato da un'enfasi sistematica sull'applicazione pratica dei concetti teorici. La presenza di numerose appendici matematiche (A1-A26) indica un approccio che integra rigore formale e comprensione intuitiva, permettendo diversi livelli di approfondimento matematico.</w:t>
      </w:r>
    </w:p>
    <w:p w:rsidR="00EB183C" w:rsidRPr="00EB183C" w:rsidRDefault="00EB183C" w:rsidP="00EB183C">
      <w:pPr>
        <w:pStyle w:val="NormaleWeb"/>
        <w:spacing w:before="0" w:beforeAutospacing="0" w:after="0" w:afterAutospacing="0"/>
        <w:jc w:val="both"/>
        <w:rPr>
          <w:rFonts w:ascii="Segoe UI" w:hAnsi="Segoe UI" w:cs="Segoe UI"/>
          <w:sz w:val="20"/>
          <w:szCs w:val="20"/>
        </w:rPr>
      </w:pPr>
      <w:r w:rsidRPr="00EB183C">
        <w:rPr>
          <w:rFonts w:ascii="Segoe UI" w:hAnsi="Segoe UI" w:cs="Segoe UI"/>
          <w:sz w:val="20"/>
          <w:szCs w:val="20"/>
        </w:rPr>
        <w:t>La sezione macroeconomica presenta innovazioni importanti nell'integrazione tra aspetti reali e monetari. Il Capitolo 24 su moneta e banche centrali presenta un'analisi approfondita della creazione di moneta e del controllo dei tassi di interesse, mentre i capitoli 26-27 su politiche fiscale e monetaria forniscono una trattazione equilibrata degli strumenti di stabilizzazione.</w:t>
      </w:r>
    </w:p>
    <w:p w:rsidR="00EB183C" w:rsidRPr="00EB183C" w:rsidRDefault="00EB183C" w:rsidP="00EB183C">
      <w:pPr>
        <w:pStyle w:val="NormaleWeb"/>
        <w:spacing w:before="0" w:beforeAutospacing="0" w:after="0" w:afterAutospacing="0"/>
        <w:jc w:val="both"/>
        <w:rPr>
          <w:rFonts w:ascii="Segoe UI" w:hAnsi="Segoe UI" w:cs="Segoe UI"/>
          <w:sz w:val="20"/>
          <w:szCs w:val="20"/>
        </w:rPr>
      </w:pPr>
      <w:r w:rsidRPr="00EB183C">
        <w:rPr>
          <w:rFonts w:ascii="Segoe UI" w:hAnsi="Segoe UI" w:cs="Segoe UI"/>
          <w:sz w:val="20"/>
          <w:szCs w:val="20"/>
        </w:rPr>
        <w:lastRenderedPageBreak/>
        <w:t>L'inclusione di tre capitoli finali sull'economia internazionale (tassi di cambio, unione monetaria, economia della pandemia) riflette l'importanza crescente della globalizzazione e dell'integrazione economica internazionale, preparando gli studenti a comprendere le sfide economiche del XXI secolo.</w:t>
      </w:r>
    </w:p>
    <w:p w:rsidR="00D24BFA" w:rsidRDefault="00D24BFA"/>
    <w:sectPr w:rsidR="00D24BFA">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Bodoni MT">
    <w:panose1 w:val="020706030806060202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183C"/>
    <w:rsid w:val="00D24BFA"/>
    <w:rsid w:val="00EB183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1DA70BB-8207-4B1C-9C41-E312BAE8B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odoni MT" w:eastAsiaTheme="minorHAnsi" w:hAnsi="Bodoni MT" w:cstheme="minorBidi"/>
        <w:sz w:val="24"/>
        <w:szCs w:val="22"/>
        <w:lang w:val="it-I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NormaleWeb">
    <w:name w:val="Normal (Web)"/>
    <w:basedOn w:val="Normale"/>
    <w:uiPriority w:val="99"/>
    <w:semiHidden/>
    <w:unhideWhenUsed/>
    <w:rsid w:val="00EB183C"/>
    <w:pPr>
      <w:spacing w:before="100" w:beforeAutospacing="1" w:after="100" w:afterAutospacing="1" w:line="240" w:lineRule="auto"/>
    </w:pPr>
    <w:rPr>
      <w:rFonts w:ascii="Times New Roman" w:eastAsia="Times New Roman" w:hAnsi="Times New Roman" w:cs="Times New Roman"/>
      <w:szCs w:val="24"/>
      <w:lang w:eastAsia="it-IT"/>
    </w:rPr>
  </w:style>
  <w:style w:type="character" w:styleId="Enfasigrassetto">
    <w:name w:val="Strong"/>
    <w:basedOn w:val="Carpredefinitoparagrafo"/>
    <w:uiPriority w:val="22"/>
    <w:qFormat/>
    <w:rsid w:val="00EB183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68939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1417</Words>
  <Characters>8077</Characters>
  <Application>Microsoft Office Word</Application>
  <DocSecurity>0</DocSecurity>
  <Lines>67</Lines>
  <Paragraphs>18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9476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Zanichelli</dc:creator>
  <cp:keywords/>
  <dc:description/>
  <cp:lastModifiedBy>Zanichelli</cp:lastModifiedBy>
  <cp:revision>1</cp:revision>
  <dcterms:created xsi:type="dcterms:W3CDTF">2025-09-27T07:05:00Z</dcterms:created>
  <dcterms:modified xsi:type="dcterms:W3CDTF">2025-09-27T07:06:00Z</dcterms:modified>
</cp:coreProperties>
</file>