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76F2" w:rsidRPr="00EB76F2" w:rsidRDefault="00EB76F2" w:rsidP="00EB76F2">
      <w:pPr>
        <w:pStyle w:val="NormaleWeb"/>
        <w:spacing w:before="0" w:beforeAutospacing="0" w:after="0" w:afterAutospacing="0"/>
        <w:jc w:val="center"/>
        <w:rPr>
          <w:rStyle w:val="Enfasigrassetto"/>
          <w:rFonts w:ascii="Segoe UI" w:hAnsi="Segoe UI" w:cs="Segoe UI"/>
          <w:bdr w:val="single" w:sz="2" w:space="0" w:color="auto" w:frame="1"/>
        </w:rPr>
      </w:pPr>
      <w:r w:rsidRPr="00EB76F2">
        <w:rPr>
          <w:rStyle w:val="Enfasigrassetto"/>
          <w:rFonts w:ascii="Segoe UI" w:hAnsi="Segoe UI" w:cs="Segoe UI"/>
          <w:bdr w:val="single" w:sz="2" w:space="0" w:color="auto" w:frame="1"/>
        </w:rPr>
        <w:t>REPORT ANALITICO: "ESSENZIALE DI ECONOMI</w:t>
      </w:r>
      <w:r w:rsidRPr="00EB76F2">
        <w:rPr>
          <w:rStyle w:val="Enfasigrassetto"/>
          <w:rFonts w:ascii="Segoe UI" w:hAnsi="Segoe UI" w:cs="Segoe UI"/>
          <w:bdr w:val="single" w:sz="2" w:space="0" w:color="auto" w:frame="1"/>
        </w:rPr>
        <w:t>A" - KRUGMAN, WELLS</w:t>
      </w:r>
    </w:p>
    <w:p w:rsidR="00EB76F2" w:rsidRPr="00EB76F2" w:rsidRDefault="00EB76F2" w:rsidP="00EB76F2">
      <w:pPr>
        <w:pStyle w:val="NormaleWeb"/>
        <w:spacing w:before="0" w:beforeAutospacing="0" w:after="0" w:afterAutospacing="0"/>
        <w:jc w:val="both"/>
        <w:rPr>
          <w:rFonts w:ascii="Segoe UI" w:hAnsi="Segoe UI" w:cs="Segoe UI"/>
          <w:sz w:val="20"/>
          <w:szCs w:val="20"/>
        </w:rPr>
      </w:pP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Style w:val="Enfasigrassetto"/>
          <w:rFonts w:ascii="Segoe UI" w:hAnsi="Segoe UI" w:cs="Segoe UI"/>
          <w:sz w:val="20"/>
          <w:szCs w:val="20"/>
          <w:bdr w:val="single" w:sz="2" w:space="0" w:color="auto" w:frame="1"/>
        </w:rPr>
        <w:t>Inquadramento Generale dell'Opera</w:t>
      </w: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 xml:space="preserve">Il manuale di </w:t>
      </w:r>
      <w:proofErr w:type="spellStart"/>
      <w:r w:rsidRPr="00EB76F2">
        <w:rPr>
          <w:rFonts w:ascii="Segoe UI" w:hAnsi="Segoe UI" w:cs="Segoe UI"/>
          <w:sz w:val="20"/>
          <w:szCs w:val="20"/>
        </w:rPr>
        <w:t>Krugman</w:t>
      </w:r>
      <w:proofErr w:type="spellEnd"/>
      <w:r w:rsidRPr="00EB76F2">
        <w:rPr>
          <w:rFonts w:ascii="Segoe UI" w:hAnsi="Segoe UI" w:cs="Segoe UI"/>
          <w:sz w:val="20"/>
          <w:szCs w:val="20"/>
        </w:rPr>
        <w:t xml:space="preserve"> e Wells rappresenta un approccio distintivo all'insegnamento dell'economia, caratterizzato da una filosofia pedagogica che privilegia la comprensione intuitiva dei principi economici attraverso applicazioni concrete e casi di studio del mondo reale. L'architettura </w:t>
      </w:r>
      <w:proofErr w:type="spellStart"/>
      <w:r w:rsidRPr="00EB76F2">
        <w:rPr>
          <w:rFonts w:ascii="Segoe UI" w:hAnsi="Segoe UI" w:cs="Segoe UI"/>
          <w:sz w:val="20"/>
          <w:szCs w:val="20"/>
        </w:rPr>
        <w:t>ottapartita</w:t>
      </w:r>
      <w:proofErr w:type="spellEnd"/>
      <w:r w:rsidRPr="00EB76F2">
        <w:rPr>
          <w:rFonts w:ascii="Segoe UI" w:hAnsi="Segoe UI" w:cs="Segoe UI"/>
          <w:sz w:val="20"/>
          <w:szCs w:val="20"/>
        </w:rPr>
        <w:t xml:space="preserve"> dell'opera rivela una strategia didattica che procede dai principi fondamentali universali alle applicazioni più sofisticate della macroeconomia e dell'economia internazionale.</w:t>
      </w: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La struttura del testo è costruita attorno agli "undici principi fondamentali dell'economia" presentati nel primo capitolo, che costituiscono il filo conduttore dell'intera opera. Questa impostazione riflette la convinzione che l'economia sia essenzialmente una disciplina unificata da alcuni principi centrali che si applicano a tutti i livelli di analisi, dalla scelta individuale alle politiche macroeconomiche globali.</w:t>
      </w:r>
    </w:p>
    <w:p w:rsid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 xml:space="preserve">L'innovazione principale risiede nell'integrazione sistematica di elementi narrativi ("Una giornata nella megalopoli", "Dal </w:t>
      </w:r>
      <w:proofErr w:type="spellStart"/>
      <w:r w:rsidRPr="00EB76F2">
        <w:rPr>
          <w:rFonts w:ascii="Segoe UI" w:hAnsi="Segoe UI" w:cs="Segoe UI"/>
          <w:sz w:val="20"/>
          <w:szCs w:val="20"/>
        </w:rPr>
        <w:t>Kitty</w:t>
      </w:r>
      <w:proofErr w:type="spellEnd"/>
      <w:r w:rsidRPr="00EB76F2">
        <w:rPr>
          <w:rFonts w:ascii="Segoe UI" w:hAnsi="Segoe UI" w:cs="Segoe UI"/>
          <w:sz w:val="20"/>
          <w:szCs w:val="20"/>
        </w:rPr>
        <w:t xml:space="preserve"> </w:t>
      </w:r>
      <w:proofErr w:type="spellStart"/>
      <w:r w:rsidRPr="00EB76F2">
        <w:rPr>
          <w:rFonts w:ascii="Segoe UI" w:hAnsi="Segoe UI" w:cs="Segoe UI"/>
          <w:sz w:val="20"/>
          <w:szCs w:val="20"/>
        </w:rPr>
        <w:t>Hawk</w:t>
      </w:r>
      <w:proofErr w:type="spellEnd"/>
      <w:r w:rsidRPr="00EB76F2">
        <w:rPr>
          <w:rFonts w:ascii="Segoe UI" w:hAnsi="Segoe UI" w:cs="Segoe UI"/>
          <w:sz w:val="20"/>
          <w:szCs w:val="20"/>
        </w:rPr>
        <w:t xml:space="preserve"> al </w:t>
      </w:r>
      <w:proofErr w:type="spellStart"/>
      <w:r w:rsidRPr="00EB76F2">
        <w:rPr>
          <w:rFonts w:ascii="Segoe UI" w:hAnsi="Segoe UI" w:cs="Segoe UI"/>
          <w:sz w:val="20"/>
          <w:szCs w:val="20"/>
        </w:rPr>
        <w:t>Dreamliner</w:t>
      </w:r>
      <w:proofErr w:type="spellEnd"/>
      <w:r w:rsidRPr="00EB76F2">
        <w:rPr>
          <w:rFonts w:ascii="Segoe UI" w:hAnsi="Segoe UI" w:cs="Segoe UI"/>
          <w:sz w:val="20"/>
          <w:szCs w:val="20"/>
        </w:rPr>
        <w:t>") che contestualizzano i concetti teorici e li rendono immediatamente rilevanti per l'esperienza degli studenti. La presenza costante di sezioni come "Economia in Azione", "Confronto Globale" e "Analisi di un Caso Aziendale" indica un approccio che enfatizza l'applicazione pratica della teoria economica.</w:t>
      </w:r>
    </w:p>
    <w:p w:rsidR="00EB76F2" w:rsidRPr="00EB76F2" w:rsidRDefault="00EB76F2" w:rsidP="00EB76F2">
      <w:pPr>
        <w:pStyle w:val="NormaleWeb"/>
        <w:spacing w:before="0" w:beforeAutospacing="0" w:after="0" w:afterAutospacing="0"/>
        <w:jc w:val="both"/>
        <w:rPr>
          <w:rFonts w:ascii="Segoe UI" w:hAnsi="Segoe UI" w:cs="Segoe UI"/>
          <w:sz w:val="20"/>
          <w:szCs w:val="20"/>
        </w:rPr>
      </w:pP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Style w:val="Enfasigrassetto"/>
          <w:rFonts w:ascii="Segoe UI" w:hAnsi="Segoe UI" w:cs="Segoe UI"/>
          <w:sz w:val="20"/>
          <w:szCs w:val="20"/>
          <w:bdr w:val="single" w:sz="2" w:space="0" w:color="auto" w:frame="1"/>
        </w:rPr>
        <w:t>Scuole di Pensiero Economiche di Riferimento</w:t>
      </w: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 xml:space="preserve">L'impostazione teorica di </w:t>
      </w:r>
      <w:proofErr w:type="spellStart"/>
      <w:r w:rsidRPr="00EB76F2">
        <w:rPr>
          <w:rFonts w:ascii="Segoe UI" w:hAnsi="Segoe UI" w:cs="Segoe UI"/>
          <w:sz w:val="20"/>
          <w:szCs w:val="20"/>
        </w:rPr>
        <w:t>Krugman</w:t>
      </w:r>
      <w:proofErr w:type="spellEnd"/>
      <w:r w:rsidRPr="00EB76F2">
        <w:rPr>
          <w:rFonts w:ascii="Segoe UI" w:hAnsi="Segoe UI" w:cs="Segoe UI"/>
          <w:sz w:val="20"/>
          <w:szCs w:val="20"/>
        </w:rPr>
        <w:t xml:space="preserve"> e Wells è prevalentemente </w:t>
      </w:r>
      <w:proofErr w:type="spellStart"/>
      <w:r w:rsidRPr="00EB76F2">
        <w:rPr>
          <w:rFonts w:ascii="Segoe UI" w:hAnsi="Segoe UI" w:cs="Segoe UI"/>
          <w:sz w:val="20"/>
          <w:szCs w:val="20"/>
        </w:rPr>
        <w:t>mainstream</w:t>
      </w:r>
      <w:proofErr w:type="spellEnd"/>
      <w:r w:rsidRPr="00EB76F2">
        <w:rPr>
          <w:rFonts w:ascii="Segoe UI" w:hAnsi="Segoe UI" w:cs="Segoe UI"/>
          <w:sz w:val="20"/>
          <w:szCs w:val="20"/>
        </w:rPr>
        <w:t xml:space="preserve"> con una chiara matrice neoclassica, ma presenta significative aperture verso sviluppi più recenti dell'analisi economica. I primi due principi ("Scegliere è necessario" e "Il vero costo è il costo-opportunità") riflettono l'approccio </w:t>
      </w:r>
      <w:proofErr w:type="spellStart"/>
      <w:r w:rsidRPr="00EB76F2">
        <w:rPr>
          <w:rFonts w:ascii="Segoe UI" w:hAnsi="Segoe UI" w:cs="Segoe UI"/>
          <w:sz w:val="20"/>
          <w:szCs w:val="20"/>
        </w:rPr>
        <w:t>robbinsiano</w:t>
      </w:r>
      <w:proofErr w:type="spellEnd"/>
      <w:r w:rsidRPr="00EB76F2">
        <w:rPr>
          <w:rFonts w:ascii="Segoe UI" w:hAnsi="Segoe UI" w:cs="Segoe UI"/>
          <w:sz w:val="20"/>
          <w:szCs w:val="20"/>
        </w:rPr>
        <w:t xml:space="preserve"> alla definizione dell'economia, mentre l'enfasi sulla "mano invisibile" (Principio 8) presenta la tradizione smithiana in forma moderna.</w:t>
      </w: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Tuttavia, l'opera presenta un approccio più sfumato rispetto ai manuali puramente neoclassici. Il Principio 8 ("I mercati di solito sono efficienti, ma quando non lo sono l'intervento dello Stato può migliorare il benessere sociale") indica un riconoscimento equilibrato sia dei meriti che dei limiti del meccanismo di mercato. L'ampio spazio dedicato ai fallimenti del mercato (Parte 5) riflette l'influenza della moderna economia del benessere e della teoria dell'informazione.</w:t>
      </w:r>
    </w:p>
    <w:p w:rsid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Sul fronte macroeconomico, l'approccio è distintamente keynesiano, con particolare enfasi sul ruolo delle politiche di stabilizzazione. La struttura dei capitoli 17-19 su politica fiscale, sistema bancario e politica monetaria riflette l'approccio delle politiche macroeconomiche attive. La presenza di un capitolo specifico sull'economia dello stato sociale (Capitolo 11) indica un'apertura verso temi di economia pubblica e politiche redistributive.</w:t>
      </w:r>
    </w:p>
    <w:p w:rsidR="00EB76F2" w:rsidRPr="00EB76F2" w:rsidRDefault="00EB76F2" w:rsidP="00EB76F2">
      <w:pPr>
        <w:pStyle w:val="NormaleWeb"/>
        <w:spacing w:before="0" w:beforeAutospacing="0" w:after="0" w:afterAutospacing="0"/>
        <w:jc w:val="both"/>
        <w:rPr>
          <w:rFonts w:ascii="Segoe UI" w:hAnsi="Segoe UI" w:cs="Segoe UI"/>
          <w:sz w:val="20"/>
          <w:szCs w:val="20"/>
        </w:rPr>
      </w:pP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Style w:val="Enfasigrassetto"/>
          <w:rFonts w:ascii="Segoe UI" w:hAnsi="Segoe UI" w:cs="Segoe UI"/>
          <w:sz w:val="20"/>
          <w:szCs w:val="20"/>
          <w:bdr w:val="single" w:sz="2" w:space="0" w:color="auto" w:frame="1"/>
        </w:rPr>
        <w:t>Modelli Economici Micro e Macroeconomici</w:t>
      </w: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La struttura microeconomica presenta una progressione completa ma accessibile dei modelli standard. Il Capitolo 3 sviluppa il modello di domanda e offerta con particolare attenzione agli aspetti grafici e alle applicazioni pratiche, mentre il Capitolo 4 introduce i concetti di surplus del consumatore e del produttore attraverso esempi concreti.</w:t>
      </w: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Il Capitolo 5 sull'elasticità presenta un'analisi approfondita che include non solo elasticità della domanda e dell'offerta, ma anche gli effetti della tassazione e l'analisi della perdita secca. La teoria dell'impresa (Capitolo 6) sviluppa i concetti di costo marginale e medio attraverso esempi pratici, mentre il Capitolo 7 sulla concorrenza perfetta presenta l'analisi dell'equilibrio di breve e lungo periodo.</w:t>
      </w: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La sezione sulle strutture di mercato (Parte 4) presenta una trattazione completa di monopolio, oligopolio e concorrenza monopolistica. L'innovazione principale nel Capitolo 9 risiede nell'integrazione del "dilemma del prigioniero" come strumento per comprendere il comportamento strategico nell'oligopolio.</w:t>
      </w:r>
    </w:p>
    <w:p w:rsid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 xml:space="preserve">La sezione macroeconomica presenta una sequenza logica che parte dalla misurazione degli aggregati (Capitoli 13-14) per sviluppare prima l'analisi di lungo periodo (Capitolo 15 sulla crescita) e poi quella di breve periodo (Capitolo 16 sul modello DA-OA). I capitoli 17-19 completano il </w:t>
      </w:r>
      <w:proofErr w:type="spellStart"/>
      <w:r w:rsidRPr="00EB76F2">
        <w:rPr>
          <w:rFonts w:ascii="Segoe UI" w:hAnsi="Segoe UI" w:cs="Segoe UI"/>
          <w:sz w:val="20"/>
          <w:szCs w:val="20"/>
        </w:rPr>
        <w:t>framework</w:t>
      </w:r>
      <w:proofErr w:type="spellEnd"/>
      <w:r w:rsidRPr="00EB76F2">
        <w:rPr>
          <w:rFonts w:ascii="Segoe UI" w:hAnsi="Segoe UI" w:cs="Segoe UI"/>
          <w:sz w:val="20"/>
          <w:szCs w:val="20"/>
        </w:rPr>
        <w:t xml:space="preserve"> con l'analisi delle politiche fiscali e monetarie.</w:t>
      </w:r>
    </w:p>
    <w:p w:rsidR="00EB76F2" w:rsidRPr="00EB76F2" w:rsidRDefault="00EB76F2" w:rsidP="00EB76F2">
      <w:pPr>
        <w:pStyle w:val="NormaleWeb"/>
        <w:spacing w:before="0" w:beforeAutospacing="0" w:after="0" w:afterAutospacing="0"/>
        <w:jc w:val="both"/>
        <w:rPr>
          <w:rFonts w:ascii="Segoe UI" w:hAnsi="Segoe UI" w:cs="Segoe UI"/>
          <w:sz w:val="20"/>
          <w:szCs w:val="20"/>
        </w:rPr>
      </w:pP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Style w:val="Enfasigrassetto"/>
          <w:rFonts w:ascii="Segoe UI" w:hAnsi="Segoe UI" w:cs="Segoe UI"/>
          <w:sz w:val="20"/>
          <w:szCs w:val="20"/>
          <w:bdr w:val="single" w:sz="2" w:space="0" w:color="auto" w:frame="1"/>
        </w:rPr>
        <w:t>Modelli di Crescita Economica</w:t>
      </w: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lastRenderedPageBreak/>
        <w:t xml:space="preserve">La trattazione della crescita economica è concentrata nel Capitolo 15, che presenta un approccio moderno e completo. Il modello sviluppato integra elementi del modello di </w:t>
      </w:r>
      <w:proofErr w:type="spellStart"/>
      <w:r w:rsidRPr="00EB76F2">
        <w:rPr>
          <w:rFonts w:ascii="Segoe UI" w:hAnsi="Segoe UI" w:cs="Segoe UI"/>
          <w:sz w:val="20"/>
          <w:szCs w:val="20"/>
        </w:rPr>
        <w:t>Solow</w:t>
      </w:r>
      <w:proofErr w:type="spellEnd"/>
      <w:r w:rsidRPr="00EB76F2">
        <w:rPr>
          <w:rFonts w:ascii="Segoe UI" w:hAnsi="Segoe UI" w:cs="Segoe UI"/>
          <w:sz w:val="20"/>
          <w:szCs w:val="20"/>
        </w:rPr>
        <w:t xml:space="preserve"> tradizionale con contributi più recenti, enfatizzando il ruolo cruciale della produttività come determinante del PIL reale pro capite.</w:t>
      </w: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 xml:space="preserve">L'analisi include sistematicamente fattori come capitale fisico, capitale umano, tecnologia e risorse naturali, utilizzando il </w:t>
      </w:r>
      <w:proofErr w:type="spellStart"/>
      <w:r w:rsidRPr="00EB76F2">
        <w:rPr>
          <w:rFonts w:ascii="Segoe UI" w:hAnsi="Segoe UI" w:cs="Segoe UI"/>
          <w:sz w:val="20"/>
          <w:szCs w:val="20"/>
        </w:rPr>
        <w:t>framework</w:t>
      </w:r>
      <w:proofErr w:type="spellEnd"/>
      <w:r w:rsidRPr="00EB76F2">
        <w:rPr>
          <w:rFonts w:ascii="Segoe UI" w:hAnsi="Segoe UI" w:cs="Segoe UI"/>
          <w:sz w:val="20"/>
          <w:szCs w:val="20"/>
        </w:rPr>
        <w:t xml:space="preserve"> della "funzione di produzione aggregata" per la "contabilità della crescita". L'approccio è particolarmente innovativo nell'integrazione di aspetti istituzionali e ambientali della crescita.</w:t>
      </w:r>
    </w:p>
    <w:p w:rsid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La sezione sui "miracoli, delusioni e fallimenti" della crescita presenta un'analisi comparativa internazionale che include il miracolo dell'Asia orientale, la delusione dell'America Latina e i problemi dell'Africa. La discussione sulla sostenibilità della crescita mondiale riflette l'attenzione contemporanea alle problematiche ambientali e ai limiti delle risorse naturali.</w:t>
      </w:r>
    </w:p>
    <w:p w:rsidR="00EB76F2" w:rsidRPr="00EB76F2" w:rsidRDefault="00EB76F2" w:rsidP="00EB76F2">
      <w:pPr>
        <w:pStyle w:val="NormaleWeb"/>
        <w:spacing w:before="0" w:beforeAutospacing="0" w:after="0" w:afterAutospacing="0"/>
        <w:jc w:val="both"/>
        <w:rPr>
          <w:rFonts w:ascii="Segoe UI" w:hAnsi="Segoe UI" w:cs="Segoe UI"/>
          <w:sz w:val="20"/>
          <w:szCs w:val="20"/>
        </w:rPr>
      </w:pP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Style w:val="Enfasigrassetto"/>
          <w:rFonts w:ascii="Segoe UI" w:hAnsi="Segoe UI" w:cs="Segoe UI"/>
          <w:sz w:val="20"/>
          <w:szCs w:val="20"/>
          <w:bdr w:val="single" w:sz="2" w:space="0" w:color="auto" w:frame="1"/>
        </w:rPr>
        <w:t>Trattazione Temporale: Breve e Lungo Periodo</w:t>
      </w: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 xml:space="preserve">L'approccio temporale di </w:t>
      </w:r>
      <w:proofErr w:type="spellStart"/>
      <w:r w:rsidRPr="00EB76F2">
        <w:rPr>
          <w:rFonts w:ascii="Segoe UI" w:hAnsi="Segoe UI" w:cs="Segoe UI"/>
          <w:sz w:val="20"/>
          <w:szCs w:val="20"/>
        </w:rPr>
        <w:t>Krugman</w:t>
      </w:r>
      <w:proofErr w:type="spellEnd"/>
      <w:r w:rsidRPr="00EB76F2">
        <w:rPr>
          <w:rFonts w:ascii="Segoe UI" w:hAnsi="Segoe UI" w:cs="Segoe UI"/>
          <w:sz w:val="20"/>
          <w:szCs w:val="20"/>
        </w:rPr>
        <w:t xml:space="preserve"> e Wells è sistematicamente sviluppato sia a livello microeconomico che macroeconomico. Nel Capitolo 6 sui costi di produzione, la distinzione tra breve e lungo periodo è introdotta attraverso l'analisi dei rendimenti di scala e delle economie di scala.</w:t>
      </w: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Il Capitolo 7 sulla concorrenza perfetta sviluppa questa distinzione nell'analisi dell'equilibrio dell'impresa e del settore, mostrando come l'entrata e l'uscita di imprese nel lungo periodo elimini i profitti economici. Questa progressione dal breve al lungo periodo è applicata sistematicamente negli altri modelli di mercato.</w:t>
      </w:r>
    </w:p>
    <w:p w:rsid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A livello macroeconomico, la distinzione temporale è particolarmente evidente nel modello DA-OA del Capitolo 16, dove si analizza l'offerta aggregata di breve e lungo periodo. La discussione del passaggio "dal breve periodo al lungo periodo" mostra come l'economia si aggiusti verso l'equilibrio di lungo periodo attraverso variazioni dei prezzi e dei salari.</w:t>
      </w:r>
    </w:p>
    <w:p w:rsidR="00EB76F2" w:rsidRPr="00EB76F2" w:rsidRDefault="00EB76F2" w:rsidP="00EB76F2">
      <w:pPr>
        <w:pStyle w:val="NormaleWeb"/>
        <w:spacing w:before="0" w:beforeAutospacing="0" w:after="0" w:afterAutospacing="0"/>
        <w:jc w:val="both"/>
        <w:rPr>
          <w:rFonts w:ascii="Segoe UI" w:hAnsi="Segoe UI" w:cs="Segoe UI"/>
          <w:sz w:val="20"/>
          <w:szCs w:val="20"/>
        </w:rPr>
      </w:pPr>
      <w:bookmarkStart w:id="0" w:name="_GoBack"/>
      <w:bookmarkEnd w:id="0"/>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Style w:val="Enfasigrassetto"/>
          <w:rFonts w:ascii="Segoe UI" w:hAnsi="Segoe UI" w:cs="Segoe UI"/>
          <w:sz w:val="20"/>
          <w:szCs w:val="20"/>
          <w:bdr w:val="single" w:sz="2" w:space="0" w:color="auto" w:frame="1"/>
        </w:rPr>
        <w:t>Argomenti Non Standard e Innovazioni Didattiche</w:t>
      </w: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 xml:space="preserve">Il manuale presenta numerose innovazioni didattiche che lo distinguono dai testi tradizionali. La struttura basata sugli "undici principi fondamentali" rappresenta un'innovazione pedagogica importante, fornendo un </w:t>
      </w:r>
      <w:proofErr w:type="spellStart"/>
      <w:r w:rsidRPr="00EB76F2">
        <w:rPr>
          <w:rFonts w:ascii="Segoe UI" w:hAnsi="Segoe UI" w:cs="Segoe UI"/>
          <w:sz w:val="20"/>
          <w:szCs w:val="20"/>
        </w:rPr>
        <w:t>framework</w:t>
      </w:r>
      <w:proofErr w:type="spellEnd"/>
      <w:r w:rsidRPr="00EB76F2">
        <w:rPr>
          <w:rFonts w:ascii="Segoe UI" w:hAnsi="Segoe UI" w:cs="Segoe UI"/>
          <w:sz w:val="20"/>
          <w:szCs w:val="20"/>
        </w:rPr>
        <w:t xml:space="preserve"> unificante che collega tutti gli argomenti del corso.</w:t>
      </w: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Le sezioni "Trabocchetti" presenti in molti capitoli rappresentano un'innovazione unica, identificando e correggendo errori comuni che gli studenti tendono a commettere. Esempi includono "Domanda e quantità domandata" e "Il monopolista ha una curva di offerta?". Questa attenzione agli errori cognitivi riflette un approccio pedagogico informato dalla ricerca educativa.</w:t>
      </w: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Il Capitolo 11 sull'economia dello stato sociale è particolarmente innovativo per un testo introduttivo, presentando un'analisi completa di povertà, disuguaglianza e politiche redistributive. L'inclusione dell'analisi dell'</w:t>
      </w:r>
      <w:proofErr w:type="spellStart"/>
      <w:r w:rsidRPr="00EB76F2">
        <w:rPr>
          <w:rFonts w:ascii="Segoe UI" w:hAnsi="Segoe UI" w:cs="Segoe UI"/>
          <w:sz w:val="20"/>
          <w:szCs w:val="20"/>
        </w:rPr>
        <w:t>Affordable</w:t>
      </w:r>
      <w:proofErr w:type="spellEnd"/>
      <w:r w:rsidRPr="00EB76F2">
        <w:rPr>
          <w:rFonts w:ascii="Segoe UI" w:hAnsi="Segoe UI" w:cs="Segoe UI"/>
          <w:sz w:val="20"/>
          <w:szCs w:val="20"/>
        </w:rPr>
        <w:t xml:space="preserve"> Care </w:t>
      </w:r>
      <w:proofErr w:type="spellStart"/>
      <w:r w:rsidRPr="00EB76F2">
        <w:rPr>
          <w:rFonts w:ascii="Segoe UI" w:hAnsi="Segoe UI" w:cs="Segoe UI"/>
          <w:sz w:val="20"/>
          <w:szCs w:val="20"/>
        </w:rPr>
        <w:t>Act</w:t>
      </w:r>
      <w:proofErr w:type="spellEnd"/>
      <w:r w:rsidRPr="00EB76F2">
        <w:rPr>
          <w:rFonts w:ascii="Segoe UI" w:hAnsi="Segoe UI" w:cs="Segoe UI"/>
          <w:sz w:val="20"/>
          <w:szCs w:val="20"/>
        </w:rPr>
        <w:t xml:space="preserve"> riflette l'attenzione alle politiche contemporanee.</w:t>
      </w: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 xml:space="preserve">La Parte 5 su "Microeconomia e politiche pubbliche" presenta una trattazione particolarmente approfondita di esternalità e beni pubblici (Capitolo 10), includendo l'analisi economica del cambiamento climatico e delle politiche ambientali. La discussione sui "permessi di emissione negoziabili" e la "carbon </w:t>
      </w:r>
      <w:proofErr w:type="spellStart"/>
      <w:r w:rsidRPr="00EB76F2">
        <w:rPr>
          <w:rFonts w:ascii="Segoe UI" w:hAnsi="Segoe UI" w:cs="Segoe UI"/>
          <w:sz w:val="20"/>
          <w:szCs w:val="20"/>
        </w:rPr>
        <w:t>tax</w:t>
      </w:r>
      <w:proofErr w:type="spellEnd"/>
      <w:r w:rsidRPr="00EB76F2">
        <w:rPr>
          <w:rFonts w:ascii="Segoe UI" w:hAnsi="Segoe UI" w:cs="Segoe UI"/>
          <w:sz w:val="20"/>
          <w:szCs w:val="20"/>
        </w:rPr>
        <w:t>" riflette l'attenzione alle problematiche ambientali contemporanee.</w:t>
      </w: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 xml:space="preserve">Il Capitolo 20 sul commercio internazionale presenta un'analisi moderna che integra teoria del commercio, flussi di capitali e tassi di cambio in un </w:t>
      </w:r>
      <w:proofErr w:type="spellStart"/>
      <w:r w:rsidRPr="00EB76F2">
        <w:rPr>
          <w:rFonts w:ascii="Segoe UI" w:hAnsi="Segoe UI" w:cs="Segoe UI"/>
          <w:sz w:val="20"/>
          <w:szCs w:val="20"/>
        </w:rPr>
        <w:t>framework</w:t>
      </w:r>
      <w:proofErr w:type="spellEnd"/>
      <w:r w:rsidRPr="00EB76F2">
        <w:rPr>
          <w:rFonts w:ascii="Segoe UI" w:hAnsi="Segoe UI" w:cs="Segoe UI"/>
          <w:sz w:val="20"/>
          <w:szCs w:val="20"/>
        </w:rPr>
        <w:t xml:space="preserve"> unificato. L'inclusione della "bilancia dei pagamenti" e dell'analisi dei "flussi di capitali bidirezionali" riflette la complessità dell'economia internazionale moderna.</w:t>
      </w: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Le sezioni "E in Italia..." presenti in diversi capitoli rappresentano un'innovazione importante per l'edizione italiana, contestualizzando i concetti teorici nella realtà economica italiana. Questo approccio facilita la comprensione degli studenti italiani fornendo esempi e dati nazionali rilevanti.</w:t>
      </w: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 xml:space="preserve">L'integrazione sistematica di risorse digitali (test interattivi, </w:t>
      </w:r>
      <w:proofErr w:type="spellStart"/>
      <w:r w:rsidRPr="00EB76F2">
        <w:rPr>
          <w:rFonts w:ascii="Segoe UI" w:hAnsi="Segoe UI" w:cs="Segoe UI"/>
          <w:sz w:val="20"/>
          <w:szCs w:val="20"/>
        </w:rPr>
        <w:t>videolezioni</w:t>
      </w:r>
      <w:proofErr w:type="spellEnd"/>
      <w:r w:rsidRPr="00EB76F2">
        <w:rPr>
          <w:rFonts w:ascii="Segoe UI" w:hAnsi="Segoe UI" w:cs="Segoe UI"/>
          <w:sz w:val="20"/>
          <w:szCs w:val="20"/>
        </w:rPr>
        <w:t>, grafici interattivi) indica un approccio didattico moderno che sfrutta le potenzialità delle tecnologie educative. La presenza di "</w:t>
      </w:r>
      <w:proofErr w:type="spellStart"/>
      <w:r w:rsidRPr="00EB76F2">
        <w:rPr>
          <w:rFonts w:ascii="Segoe UI" w:hAnsi="Segoe UI" w:cs="Segoe UI"/>
          <w:sz w:val="20"/>
          <w:szCs w:val="20"/>
        </w:rPr>
        <w:t>Ebook</w:t>
      </w:r>
      <w:proofErr w:type="spellEnd"/>
      <w:r w:rsidRPr="00EB76F2">
        <w:rPr>
          <w:rFonts w:ascii="Segoe UI" w:hAnsi="Segoe UI" w:cs="Segoe UI"/>
          <w:sz w:val="20"/>
          <w:szCs w:val="20"/>
        </w:rPr>
        <w:t>" e risorse online riflette l'adattamento alle esigenze degli studenti digitali.</w:t>
      </w: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t>Le "Analisi di un Caso Aziendale" presenti in ogni capitolo rappresentano un'innovazione importante, collegando i concetti teorici alle strategie e decisioni delle imprese reali. Esempi come "</w:t>
      </w:r>
      <w:proofErr w:type="spellStart"/>
      <w:r w:rsidRPr="00EB76F2">
        <w:rPr>
          <w:rFonts w:ascii="Segoe UI" w:hAnsi="Segoe UI" w:cs="Segoe UI"/>
          <w:sz w:val="20"/>
          <w:szCs w:val="20"/>
        </w:rPr>
        <w:t>Uber</w:t>
      </w:r>
      <w:proofErr w:type="spellEnd"/>
      <w:r w:rsidRPr="00EB76F2">
        <w:rPr>
          <w:rFonts w:ascii="Segoe UI" w:hAnsi="Segoe UI" w:cs="Segoe UI"/>
          <w:sz w:val="20"/>
          <w:szCs w:val="20"/>
        </w:rPr>
        <w:t xml:space="preserve"> dà lezione ai propri clienti su domanda e offerta" e "La guerra tra Amazon e Hachette" rendono la teoria economica immediatamente rilevante per comprendere il mondo degli affari contemporaneo.</w:t>
      </w:r>
    </w:p>
    <w:p w:rsidR="00EB76F2" w:rsidRPr="00EB76F2" w:rsidRDefault="00EB76F2" w:rsidP="00EB76F2">
      <w:pPr>
        <w:pStyle w:val="NormaleWeb"/>
        <w:spacing w:before="0" w:beforeAutospacing="0" w:after="0" w:afterAutospacing="0"/>
        <w:jc w:val="both"/>
        <w:rPr>
          <w:rFonts w:ascii="Segoe UI" w:hAnsi="Segoe UI" w:cs="Segoe UI"/>
          <w:sz w:val="20"/>
          <w:szCs w:val="20"/>
        </w:rPr>
      </w:pPr>
      <w:r w:rsidRPr="00EB76F2">
        <w:rPr>
          <w:rFonts w:ascii="Segoe UI" w:hAnsi="Segoe UI" w:cs="Segoe UI"/>
          <w:sz w:val="20"/>
          <w:szCs w:val="20"/>
        </w:rPr>
        <w:lastRenderedPageBreak/>
        <w:t>La presenza di sezioni "Per i Più Curiosi" indica un approccio che incoraggia l'approfondimento autonomo, fornendo agli studenti più motivati opportunità di esplorare argomenti avanzati senza appesantire il testo principale.</w:t>
      </w:r>
    </w:p>
    <w:p w:rsidR="00D24BFA" w:rsidRPr="00EB76F2" w:rsidRDefault="00D24BFA" w:rsidP="00EB76F2">
      <w:pPr>
        <w:spacing w:after="0" w:line="240" w:lineRule="auto"/>
        <w:jc w:val="both"/>
        <w:rPr>
          <w:rFonts w:ascii="Segoe UI" w:hAnsi="Segoe UI" w:cs="Segoe UI"/>
          <w:sz w:val="20"/>
          <w:szCs w:val="20"/>
        </w:rPr>
      </w:pPr>
    </w:p>
    <w:sectPr w:rsidR="00D24BFA" w:rsidRPr="00EB76F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6F2"/>
    <w:rsid w:val="00D24BFA"/>
    <w:rsid w:val="00EB76F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AA42AE-2ADD-4859-A3B1-6A0F53623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doni MT" w:eastAsiaTheme="minorHAnsi" w:hAnsi="Bodoni MT" w:cstheme="minorBidi"/>
        <w:sz w:val="24"/>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EB76F2"/>
    <w:pPr>
      <w:spacing w:before="100" w:beforeAutospacing="1" w:after="100" w:afterAutospacing="1" w:line="240" w:lineRule="auto"/>
    </w:pPr>
    <w:rPr>
      <w:rFonts w:ascii="Times New Roman" w:eastAsia="Times New Roman" w:hAnsi="Times New Roman" w:cs="Times New Roman"/>
      <w:szCs w:val="24"/>
      <w:lang w:eastAsia="it-IT"/>
    </w:rPr>
  </w:style>
  <w:style w:type="character" w:styleId="Enfasigrassetto">
    <w:name w:val="Strong"/>
    <w:basedOn w:val="Carpredefinitoparagrafo"/>
    <w:uiPriority w:val="22"/>
    <w:qFormat/>
    <w:rsid w:val="00EB76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7453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1392</Words>
  <Characters>7935</Characters>
  <Application>Microsoft Office Word</Application>
  <DocSecurity>0</DocSecurity>
  <Lines>66</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Zanichelli</dc:creator>
  <cp:keywords/>
  <dc:description/>
  <cp:lastModifiedBy>Zanichelli</cp:lastModifiedBy>
  <cp:revision>1</cp:revision>
  <dcterms:created xsi:type="dcterms:W3CDTF">2025-09-27T07:11:00Z</dcterms:created>
  <dcterms:modified xsi:type="dcterms:W3CDTF">2025-09-27T07:12:00Z</dcterms:modified>
</cp:coreProperties>
</file>