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849" w:rsidRPr="00087849" w:rsidRDefault="00087849" w:rsidP="00087849">
      <w:pPr>
        <w:pStyle w:val="NormaleWeb"/>
        <w:spacing w:before="0" w:beforeAutospacing="0" w:after="0" w:afterAutospacing="0"/>
        <w:jc w:val="both"/>
        <w:rPr>
          <w:rStyle w:val="Enfasigrassetto"/>
          <w:rFonts w:ascii="Segoe UI" w:hAnsi="Segoe UI" w:cs="Segoe UI"/>
          <w:bdr w:val="single" w:sz="2" w:space="0" w:color="auto" w:frame="1"/>
        </w:rPr>
      </w:pPr>
      <w:r w:rsidRPr="00087849">
        <w:rPr>
          <w:rStyle w:val="Enfasigrassetto"/>
          <w:rFonts w:ascii="Segoe UI" w:hAnsi="Segoe UI" w:cs="Segoe UI"/>
          <w:bdr w:val="single" w:sz="2" w:space="0" w:color="auto" w:frame="1"/>
        </w:rPr>
        <w:t>REPORT ANALITICO: "ECONOMIA PRINCIPI E APPLICAZIONI" - L</w:t>
      </w:r>
      <w:r w:rsidRPr="00087849">
        <w:rPr>
          <w:rStyle w:val="Enfasigrassetto"/>
          <w:rFonts w:ascii="Segoe UI" w:hAnsi="Segoe UI" w:cs="Segoe UI"/>
          <w:bdr w:val="single" w:sz="2" w:space="0" w:color="auto" w:frame="1"/>
        </w:rPr>
        <w:t>IEBERMAN, HALL</w:t>
      </w:r>
    </w:p>
    <w:p w:rsidR="00087849" w:rsidRPr="00087849" w:rsidRDefault="00087849" w:rsidP="00087849">
      <w:pPr>
        <w:pStyle w:val="NormaleWeb"/>
        <w:spacing w:before="0" w:beforeAutospacing="0" w:after="0" w:afterAutospacing="0"/>
        <w:jc w:val="both"/>
        <w:rPr>
          <w:rFonts w:ascii="Segoe UI" w:hAnsi="Segoe UI" w:cs="Segoe UI"/>
          <w:sz w:val="20"/>
          <w:szCs w:val="20"/>
        </w:rPr>
      </w:pP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Style w:val="Enfasigrassetto"/>
          <w:rFonts w:ascii="Segoe UI" w:hAnsi="Segoe UI" w:cs="Segoe UI"/>
          <w:sz w:val="20"/>
          <w:szCs w:val="20"/>
          <w:bdr w:val="single" w:sz="2" w:space="0" w:color="auto" w:frame="1"/>
        </w:rPr>
        <w:t>Inquadramento Generale dell'Opera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manuale di Lieberman e Hall rappresenta un approccio metodologicamente rigoroso all'insegnamento dell'economia, caratterizzato da una particolare enfasi sull'applicazione pratica dei principi teorici e sulla comprensione dei meccanismi economici attraverso esempi concreti. L'architettura dell'opera, suddivisa in cinque parti principali, rivela una strategia didattica che procede dai concetti fondamentali alle applicazioni macroeconomiche più complesse, con particolare attenzione all'integrazione tra teoria e realtà empirica.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 xml:space="preserve">La struttura del testo è costruita attorno al principio del costo-opportunità come concetto unificante dell'analisi economica, sviluppato sistematicamente dal capitolo 2 e applicato coerentemente in tutti i successivi sviluppi teorici. Questa impostazione riflette la convinzione che la comprensione del </w:t>
      </w:r>
      <w:proofErr w:type="spellStart"/>
      <w:r w:rsidRPr="00087849">
        <w:rPr>
          <w:rFonts w:ascii="Segoe UI" w:hAnsi="Segoe UI" w:cs="Segoe UI"/>
          <w:sz w:val="20"/>
          <w:szCs w:val="20"/>
        </w:rPr>
        <w:t>trade</w:t>
      </w:r>
      <w:proofErr w:type="spellEnd"/>
      <w:r w:rsidRPr="00087849">
        <w:rPr>
          <w:rFonts w:ascii="Segoe UI" w:hAnsi="Segoe UI" w:cs="Segoe UI"/>
          <w:sz w:val="20"/>
          <w:szCs w:val="20"/>
        </w:rPr>
        <w:t>-off fondamentale tra alternative costituisca la chiave per comprendere tutti i fenomeni economici, dalla scelta individuale alle politiche macroeconomiche.</w:t>
      </w:r>
    </w:p>
    <w:p w:rsid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L'innovazione principale risiede nella sistematica presenza di sezioni "Applicare la teoria" che collegano direttamente i concetti teorici a casi di studio reali, rendendo l'analisi economica immediatamente rilevante per comprendere fenomeni contemporanei. La presenza di appendici matematiche dettagliate indica un approccio che combina rigore formale e comprensione intuitiva.</w:t>
      </w:r>
    </w:p>
    <w:p w:rsidR="00087849" w:rsidRPr="00087849" w:rsidRDefault="00087849" w:rsidP="00087849">
      <w:pPr>
        <w:pStyle w:val="NormaleWeb"/>
        <w:spacing w:before="0" w:beforeAutospacing="0" w:after="0" w:afterAutospacing="0"/>
        <w:jc w:val="both"/>
        <w:rPr>
          <w:rFonts w:ascii="Segoe UI" w:hAnsi="Segoe UI" w:cs="Segoe UI"/>
          <w:sz w:val="20"/>
          <w:szCs w:val="20"/>
        </w:rPr>
      </w:pP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Style w:val="Enfasigrassetto"/>
          <w:rFonts w:ascii="Segoe UI" w:hAnsi="Segoe UI" w:cs="Segoe UI"/>
          <w:sz w:val="20"/>
          <w:szCs w:val="20"/>
          <w:bdr w:val="single" w:sz="2" w:space="0" w:color="auto" w:frame="1"/>
        </w:rPr>
        <w:t>Scuole di Pensiero Economiche di Riferimento</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 xml:space="preserve">L'impostazione teorica di Lieberman e Hall è solidamente ancorata alla tradizione neoclassica, con particolare enfasi sull'approccio </w:t>
      </w:r>
      <w:proofErr w:type="spellStart"/>
      <w:r w:rsidRPr="00087849">
        <w:rPr>
          <w:rFonts w:ascii="Segoe UI" w:hAnsi="Segoe UI" w:cs="Segoe UI"/>
          <w:sz w:val="20"/>
          <w:szCs w:val="20"/>
        </w:rPr>
        <w:t>marshalliano</w:t>
      </w:r>
      <w:proofErr w:type="spellEnd"/>
      <w:r w:rsidRPr="00087849">
        <w:rPr>
          <w:rFonts w:ascii="Segoe UI" w:hAnsi="Segoe UI" w:cs="Segoe UI"/>
          <w:sz w:val="20"/>
          <w:szCs w:val="20"/>
        </w:rPr>
        <w:t xml:space="preserve"> all'analisi dei mercati. Il capitolo 3 sulla domanda e offerta presenta il </w:t>
      </w:r>
      <w:proofErr w:type="spellStart"/>
      <w:r w:rsidRPr="00087849">
        <w:rPr>
          <w:rFonts w:ascii="Segoe UI" w:hAnsi="Segoe UI" w:cs="Segoe UI"/>
          <w:sz w:val="20"/>
          <w:szCs w:val="20"/>
        </w:rPr>
        <w:t>framework</w:t>
      </w:r>
      <w:proofErr w:type="spellEnd"/>
      <w:r w:rsidRPr="00087849">
        <w:rPr>
          <w:rFonts w:ascii="Segoe UI" w:hAnsi="Segoe UI" w:cs="Segoe UI"/>
          <w:sz w:val="20"/>
          <w:szCs w:val="20"/>
        </w:rPr>
        <w:t xml:space="preserve"> classico dell'equilibrio parziale, mentre la sezione microeconomica (Parte II) sviluppa sistematicamente la teoria del consumatore e dell'impresa secondo l'approccio dell'ottimizzazione vincolata.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Tuttavia, l'opera presenta significative aperture verso sviluppi più moderni dell'analisi economica. Il capitolo 8 sul monopolio e la concorrenza imperfetta incorpora elementi di economia industriale moderna, mentre il capitolo 10 sull'efficienza economica presenta un'analisi approfondita dei fallimenti del mercato che include teoria dell'informazione, esternalità e beni pubblici.</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 xml:space="preserve">Sul fronte macroeconomico, l'approccio è prevalentemente keynesiano, con il capitolo 15 sulle fluttuazioni economiche che presenta il modello reddito-spesa come </w:t>
      </w:r>
      <w:proofErr w:type="spellStart"/>
      <w:r w:rsidRPr="00087849">
        <w:rPr>
          <w:rFonts w:ascii="Segoe UI" w:hAnsi="Segoe UI" w:cs="Segoe UI"/>
          <w:sz w:val="20"/>
          <w:szCs w:val="20"/>
        </w:rPr>
        <w:t>framework</w:t>
      </w:r>
      <w:proofErr w:type="spellEnd"/>
      <w:r w:rsidRPr="00087849">
        <w:rPr>
          <w:rFonts w:ascii="Segoe UI" w:hAnsi="Segoe UI" w:cs="Segoe UI"/>
          <w:sz w:val="20"/>
          <w:szCs w:val="20"/>
        </w:rPr>
        <w:t xml:space="preserve"> centrale per l'analisi di breve periodo. Tuttavia, il capitolo 17 sul modello AD-AS integra elementi della sintesi neoclassica, fornendo un approccio equilibrato tra analisi di breve e lungo periodo.</w:t>
      </w:r>
    </w:p>
    <w:p w:rsid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La presenza di un capitolo specifico sulla crisi finanziaria del 2008 (nelle sezioni "Applicare la teoria") indica un'attenzione particolare agli sviluppi economici contemporanei e alle lezioni apprese dalle crisi recenti.</w:t>
      </w:r>
    </w:p>
    <w:p w:rsidR="00087849" w:rsidRPr="00087849" w:rsidRDefault="00087849" w:rsidP="00087849">
      <w:pPr>
        <w:pStyle w:val="NormaleWeb"/>
        <w:spacing w:before="0" w:beforeAutospacing="0" w:after="0" w:afterAutospacing="0"/>
        <w:jc w:val="both"/>
        <w:rPr>
          <w:rFonts w:ascii="Segoe UI" w:hAnsi="Segoe UI" w:cs="Segoe UI"/>
          <w:sz w:val="20"/>
          <w:szCs w:val="20"/>
        </w:rPr>
      </w:pP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Style w:val="Enfasigrassetto"/>
          <w:rFonts w:ascii="Segoe UI" w:hAnsi="Segoe UI" w:cs="Segoe UI"/>
          <w:sz w:val="20"/>
          <w:szCs w:val="20"/>
          <w:bdr w:val="single" w:sz="2" w:space="0" w:color="auto" w:frame="1"/>
        </w:rPr>
        <w:t>Modelli Economici Micro e Macroeconomici</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La struttura microeconomica presenta una progressione completa e rigorosa dei modelli standard. Il capitolo 4 sulle scelte del consumatore sviluppa sia l'approccio dell'utilità marginale che quello delle curve di indifferenza (in appendice), fornendo agli studenti una comprensione completa della teoria della domanda.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capitolo 5 sulla produzione e i costi presenta un'analisi dettagliata che include sia l'approccio della funzione di produzione che l'analisi attraverso isoquanti e isocosti (in appendice). Il capitolo 6 sulla massimizzazione del profitto integra l'approccio del ricavo totale-costo totale con quello marginale, fornendo una base solida per l'analisi delle decisioni dell'impresa.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La sezione sulle strutture di mercato (capitoli 7-8) presenta una trattazione completa che va dalla concorrenza perfetta al monopolio, all'oligopolio e alla concorrenza monopolistica. L'innovazione principale risiede nell'integrazione della teoria dei giochi nell'analisi dell'oligopolio, con particolare attenzione al dilemma del prigioniero e ai comportamenti cooperativi.</w:t>
      </w:r>
    </w:p>
    <w:p w:rsid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 xml:space="preserve">La sezione macroeconomica presenta una sequenza logica che parte dalla misurazione degli aggregati (capitoli 12-13) per sviluppare prima l'analisi della crescita di lungo periodo (capitolo 14) e poi quella delle fluttuazioni di breve periodo (capitolo 15). Il modello AD-AS del capitolo 17 completa il </w:t>
      </w:r>
      <w:proofErr w:type="spellStart"/>
      <w:r w:rsidRPr="00087849">
        <w:rPr>
          <w:rFonts w:ascii="Segoe UI" w:hAnsi="Segoe UI" w:cs="Segoe UI"/>
          <w:sz w:val="20"/>
          <w:szCs w:val="20"/>
        </w:rPr>
        <w:t>framework</w:t>
      </w:r>
      <w:proofErr w:type="spellEnd"/>
      <w:r w:rsidRPr="00087849">
        <w:rPr>
          <w:rFonts w:ascii="Segoe UI" w:hAnsi="Segoe UI" w:cs="Segoe UI"/>
          <w:sz w:val="20"/>
          <w:szCs w:val="20"/>
        </w:rPr>
        <w:t xml:space="preserve"> fornendo gli strumenti per l'analisi delle politiche di stabilizzazione.</w:t>
      </w:r>
    </w:p>
    <w:p w:rsidR="00087849" w:rsidRPr="00087849" w:rsidRDefault="00087849" w:rsidP="00087849">
      <w:pPr>
        <w:pStyle w:val="NormaleWeb"/>
        <w:spacing w:before="0" w:beforeAutospacing="0" w:after="0" w:afterAutospacing="0"/>
        <w:jc w:val="both"/>
        <w:rPr>
          <w:rFonts w:ascii="Segoe UI" w:hAnsi="Segoe UI" w:cs="Segoe UI"/>
          <w:sz w:val="20"/>
          <w:szCs w:val="20"/>
        </w:rPr>
      </w:pP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Style w:val="Enfasigrassetto"/>
          <w:rFonts w:ascii="Segoe UI" w:hAnsi="Segoe UI" w:cs="Segoe UI"/>
          <w:sz w:val="20"/>
          <w:szCs w:val="20"/>
          <w:bdr w:val="single" w:sz="2" w:space="0" w:color="auto" w:frame="1"/>
        </w:rPr>
        <w:t>Modelli di Crescita Economica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lastRenderedPageBreak/>
        <w:t xml:space="preserve">La trattazione della crescita economica è concentrata nel capitolo 14, che presenta un approccio moderno e completo. Il modello sviluppato integra elementi del modello di </w:t>
      </w:r>
      <w:proofErr w:type="spellStart"/>
      <w:r w:rsidRPr="00087849">
        <w:rPr>
          <w:rFonts w:ascii="Segoe UI" w:hAnsi="Segoe UI" w:cs="Segoe UI"/>
          <w:sz w:val="20"/>
          <w:szCs w:val="20"/>
        </w:rPr>
        <w:t>Solow</w:t>
      </w:r>
      <w:proofErr w:type="spellEnd"/>
      <w:r w:rsidRPr="00087849">
        <w:rPr>
          <w:rFonts w:ascii="Segoe UI" w:hAnsi="Segoe UI" w:cs="Segoe UI"/>
          <w:sz w:val="20"/>
          <w:szCs w:val="20"/>
        </w:rPr>
        <w:t xml:space="preserve"> tradizionale con contributi più recenti, enfatizzando il ruolo del rapporto occupazione/popolazione (EPR) e della produttività come determinanti fondamentali della crescita.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 xml:space="preserve">L'analisi include sistematicamente fattori come accumulo di capitale fisico, capitale umano e progresso tecnologico, utilizzando il </w:t>
      </w:r>
      <w:proofErr w:type="spellStart"/>
      <w:r w:rsidRPr="00087849">
        <w:rPr>
          <w:rFonts w:ascii="Segoe UI" w:hAnsi="Segoe UI" w:cs="Segoe UI"/>
          <w:sz w:val="20"/>
          <w:szCs w:val="20"/>
        </w:rPr>
        <w:t>framework</w:t>
      </w:r>
      <w:proofErr w:type="spellEnd"/>
      <w:r w:rsidRPr="00087849">
        <w:rPr>
          <w:rFonts w:ascii="Segoe UI" w:hAnsi="Segoe UI" w:cs="Segoe UI"/>
          <w:sz w:val="20"/>
          <w:szCs w:val="20"/>
        </w:rPr>
        <w:t xml:space="preserve"> del "mercato dei fondi mutuabili" per collegare risparmio, investimenti e crescita. Questa integrazione tra aspetti reali e finanziari rappresenta un'innovazione importante rispetto ai trattamenti più tradizionali.</w:t>
      </w:r>
    </w:p>
    <w:p w:rsid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 xml:space="preserve">La sezione sui "costi della crescita economica" presenta un'analisi equilibrata che considera non solo i benefici ma anche i costi di bilancio, i costi in termini di consumo e i </w:t>
      </w:r>
      <w:proofErr w:type="spellStart"/>
      <w:r w:rsidRPr="00087849">
        <w:rPr>
          <w:rFonts w:ascii="Segoe UI" w:hAnsi="Segoe UI" w:cs="Segoe UI"/>
          <w:sz w:val="20"/>
          <w:szCs w:val="20"/>
        </w:rPr>
        <w:t>trade</w:t>
      </w:r>
      <w:proofErr w:type="spellEnd"/>
      <w:r w:rsidRPr="00087849">
        <w:rPr>
          <w:rFonts w:ascii="Segoe UI" w:hAnsi="Segoe UI" w:cs="Segoe UI"/>
          <w:sz w:val="20"/>
          <w:szCs w:val="20"/>
        </w:rPr>
        <w:t>-off con altri obiettivi sociali. L'applicazione finale sulla "crescita economica nei Paesi in via di sviluppo" fornisce una prospettiva internazionale e comparativa.</w:t>
      </w:r>
    </w:p>
    <w:p w:rsidR="00087849" w:rsidRPr="00087849" w:rsidRDefault="00087849" w:rsidP="00087849">
      <w:pPr>
        <w:pStyle w:val="NormaleWeb"/>
        <w:spacing w:before="0" w:beforeAutospacing="0" w:after="0" w:afterAutospacing="0"/>
        <w:jc w:val="both"/>
        <w:rPr>
          <w:rFonts w:ascii="Segoe UI" w:hAnsi="Segoe UI" w:cs="Segoe UI"/>
          <w:sz w:val="20"/>
          <w:szCs w:val="20"/>
        </w:rPr>
      </w:pP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Style w:val="Enfasigrassetto"/>
          <w:rFonts w:ascii="Segoe UI" w:hAnsi="Segoe UI" w:cs="Segoe UI"/>
          <w:sz w:val="20"/>
          <w:szCs w:val="20"/>
          <w:bdr w:val="single" w:sz="2" w:space="0" w:color="auto" w:frame="1"/>
        </w:rPr>
        <w:t>Trattazione Temporale: Breve e Lungo Periodo</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L'approccio temporale di Lieberman e Hall è sistematicamente sviluppato sia a livello microeconomico che macroeconomico. Nel capitolo 5 sulla produzione, la distinzione tra breve e lungo periodo è introdotta attraverso l'analisi dei fattori fissi e variabili, fornendo la base concettuale per l'analisi dei costi.</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capitolo 7 sulla concorrenza perfetta sviluppa questa distinzione mostrando come l'equilibrio di breve periodo (con possibili profitti o perdite) evolva verso l'equilibrio di lungo periodo (con profitto nullo) attraverso l'entrata e l'uscita di imprese. Questa progressione temporale è applicata sistematicamente negli altri modelli di mercato.</w:t>
      </w:r>
    </w:p>
    <w:p w:rsid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A livello macroeconomico, la distinzione temporale è particolarmente evidente nella struttura dell'opera, dove si presenta prima l'analisi di lungo periodo (crescita) e poi quella di breve periodo (fluttuazioni). Il modello AD-AS del capitolo 17 sviluppa esplicitamente la distinzione tra offerta aggregata di breve e lungo periodo, mostrando i meccanismi di aggiustamento temporale.</w:t>
      </w:r>
    </w:p>
    <w:p w:rsidR="00087849" w:rsidRPr="00087849" w:rsidRDefault="00087849" w:rsidP="00087849">
      <w:pPr>
        <w:pStyle w:val="NormaleWeb"/>
        <w:spacing w:before="0" w:beforeAutospacing="0" w:after="0" w:afterAutospacing="0"/>
        <w:jc w:val="both"/>
        <w:rPr>
          <w:rFonts w:ascii="Segoe UI" w:hAnsi="Segoe UI" w:cs="Segoe UI"/>
          <w:sz w:val="20"/>
          <w:szCs w:val="20"/>
        </w:rPr>
      </w:pPr>
      <w:bookmarkStart w:id="0" w:name="_GoBack"/>
      <w:bookmarkEnd w:id="0"/>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Style w:val="Enfasigrassetto"/>
          <w:rFonts w:ascii="Segoe UI" w:hAnsi="Segoe UI" w:cs="Segoe UI"/>
          <w:sz w:val="20"/>
          <w:szCs w:val="20"/>
          <w:bdr w:val="single" w:sz="2" w:space="0" w:color="auto" w:frame="1"/>
        </w:rPr>
        <w:t>Argomenti Non Standard e Innovazioni Didattiche</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manuale presenta numerose innovazioni che lo distinguono dai testi tradizionali. Le sezioni "Applicare la teoria" presenti in ogni capitolo rappresentano un'innovazione didattica importante, collegando sistematicamente teoria ed evidenza empirica attraverso casi di studio dettagliati.</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capitolo 9 sul mercato del lavoro presenta un'analisi particolarmente approfondita che include non solo la teoria standard della determinazione dei salari, ma anche argomenti avanzati come discriminazione statistica, differenziali compensativi e barriere all'entrata. L'analisi del salario minimo fornisce un esempio concreto di applicazione della teoria alle politiche pubbliche.</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capitolo 10 sull'efficienza economica rappresenta un'innovazione significativa per un testo introduttivo, presentando un'analisi completa dei fallimenti del mercato che include asimmetrie informative, selezione avversa, azzardo morale e problemi principale-agente. L'applicazione sulla crisi finanziaria del 2008 collega questi concetti teorici alle problematiche economiche contemporanee.</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La presenza di appendici matematiche dettagliate (grafici, equazioni lineari, curve di indifferenza, isoquanti) indica un approccio che integra rigore formale e comprensione intuitiva, permettendo diversi livelli di approfondimento matematico in base alle esigenze del corso.</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capitolo 16 sul sistema bancario presenta un'analisi particolarmente moderna che include non solo il sistema bancario tradizionale ma anche la Banca Centrale Europea e l'euro, con un'applicazione dettagliata sulla crisi finanziaria del 2008. Questa attenzione agli sviluppi istituzionali contemporanei riflette l'impegno degli autori a mantenere il testo aggiornato con gli sviluppi economici più recenti.</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capitolo 13 sul sistema monetario include un'appendice sul "calcolo dell'indice dei prezzi al consumo" che fornisce agli studenti una comprensione pratica di come vengono costruiti gli indicatori economici utilizzati quotidianamente nei media e nelle analisi di policy.</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L'applicazione "Uso corretto ed errato di un CPI imperfetto" nel capitolo 13 rappresenta un esempio particolarmente efficace di come collegare teoria economica e problematiche pratiche, aiutando gli studenti a comprendere i limiti degli strumenti di misurazione economica.</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lastRenderedPageBreak/>
        <w:t>La struttura del capitolo 15 sulle fluttuazioni economiche, con la sua enfasi sul "moltiplicatore di spesa" e gli "stabilizzatori automatici", fornisce una base solida per comprendere le politiche fiscali anticicliche, collegando teoria keynesiana e applicazioni di policy contemporanee.</w:t>
      </w:r>
    </w:p>
    <w:p w:rsidR="00087849" w:rsidRPr="00087849" w:rsidRDefault="00087849" w:rsidP="00087849">
      <w:pPr>
        <w:pStyle w:val="NormaleWeb"/>
        <w:spacing w:before="0" w:beforeAutospacing="0" w:after="0" w:afterAutospacing="0"/>
        <w:jc w:val="both"/>
        <w:rPr>
          <w:rFonts w:ascii="Segoe UI" w:hAnsi="Segoe UI" w:cs="Segoe UI"/>
          <w:sz w:val="20"/>
          <w:szCs w:val="20"/>
        </w:rPr>
      </w:pPr>
      <w:r w:rsidRPr="00087849">
        <w:rPr>
          <w:rFonts w:ascii="Segoe UI" w:hAnsi="Segoe UI" w:cs="Segoe UI"/>
          <w:sz w:val="20"/>
          <w:szCs w:val="20"/>
        </w:rPr>
        <w:t>Il capitolo 17 presenta un'analisi particolarmente efficace degli "shock di domanda" e "shock di offerta" attraverso l'applicazione "La storia di due recessioni" che confronta la recessione del 1990-91 con quella del 2008-2009, fornendo agli studenti una comprensione concreta di come i modelli teorici si applicano all'analisi degli eventi economici reali.</w:t>
      </w:r>
    </w:p>
    <w:p w:rsidR="00087849" w:rsidRDefault="00087849" w:rsidP="00087849">
      <w:pPr>
        <w:pStyle w:val="NormaleWeb"/>
        <w:spacing w:before="0" w:beforeAutospacing="0" w:after="0" w:afterAutospacing="0"/>
        <w:jc w:val="both"/>
        <w:rPr>
          <w:rFonts w:ascii="Arial" w:hAnsi="Arial" w:cs="Arial"/>
          <w:color w:val="FFFFFF"/>
        </w:rPr>
      </w:pPr>
      <w:r w:rsidRPr="00087849">
        <w:rPr>
          <w:rFonts w:ascii="Segoe UI" w:hAnsi="Segoe UI" w:cs="Segoe UI"/>
          <w:sz w:val="20"/>
          <w:szCs w:val="20"/>
        </w:rPr>
        <w:t>La presenza del capitolo 18 sul commercio internazionale (disponibile online) indica un approccio moderno che sfrutta le potenzialità digitali per ampliare i contenuti senza appesantire il testo principale, riflettendo l'adattamento alle esigenze degli studenti contemporanei</w:t>
      </w:r>
      <w:r>
        <w:rPr>
          <w:rFonts w:ascii="Arial" w:hAnsi="Arial" w:cs="Arial"/>
          <w:color w:val="FFFFFF"/>
        </w:rPr>
        <w:t>.</w:t>
      </w:r>
    </w:p>
    <w:p w:rsidR="00D24BFA" w:rsidRDefault="00D24BFA"/>
    <w:sectPr w:rsidR="00D24BF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849"/>
    <w:rsid w:val="00087849"/>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B757DA-4809-41CE-81CB-8763BFCE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087849"/>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0878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227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1476</Words>
  <Characters>8416</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2025-09-27T07:15:00Z</dcterms:created>
  <dcterms:modified xsi:type="dcterms:W3CDTF">2025-09-27T07:16:00Z</dcterms:modified>
</cp:coreProperties>
</file>