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34D5" w:rsidRPr="00A634D5" w:rsidRDefault="00A634D5" w:rsidP="00A634D5">
      <w:pPr>
        <w:pStyle w:val="NormaleWeb"/>
        <w:spacing w:before="0" w:beforeAutospacing="0" w:after="0" w:afterAutospacing="0"/>
        <w:jc w:val="center"/>
        <w:rPr>
          <w:rStyle w:val="Enfasigrassetto"/>
          <w:rFonts w:ascii="Segoe UI" w:hAnsi="Segoe UI" w:cs="Segoe UI"/>
          <w:bdr w:val="single" w:sz="2" w:space="0" w:color="auto" w:frame="1"/>
        </w:rPr>
      </w:pPr>
      <w:r w:rsidRPr="00A634D5">
        <w:rPr>
          <w:rStyle w:val="Enfasigrassetto"/>
          <w:rFonts w:ascii="Segoe UI" w:hAnsi="Segoe UI" w:cs="Segoe UI"/>
          <w:bdr w:val="single" w:sz="2" w:space="0" w:color="auto" w:frame="1"/>
        </w:rPr>
        <w:t>REPORT ANALITICO: "L'ESSENZIALE DI</w:t>
      </w:r>
      <w:r w:rsidRPr="00A634D5">
        <w:rPr>
          <w:rStyle w:val="Enfasigrassetto"/>
          <w:rFonts w:ascii="Segoe UI" w:hAnsi="Segoe UI" w:cs="Segoe UI"/>
          <w:bdr w:val="single" w:sz="2" w:space="0" w:color="auto" w:frame="1"/>
        </w:rPr>
        <w:t xml:space="preserve"> ECONOMIA" – MANKIW</w:t>
      </w:r>
    </w:p>
    <w:p w:rsidR="00A634D5" w:rsidRPr="00A634D5" w:rsidRDefault="00A634D5" w:rsidP="00A634D5">
      <w:pPr>
        <w:pStyle w:val="NormaleWeb"/>
        <w:spacing w:before="0" w:beforeAutospacing="0" w:after="0" w:afterAutospacing="0"/>
        <w:jc w:val="both"/>
        <w:rPr>
          <w:rFonts w:ascii="Segoe UI" w:hAnsi="Segoe UI" w:cs="Segoe UI"/>
          <w:sz w:val="20"/>
          <w:szCs w:val="20"/>
        </w:rPr>
      </w:pP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Style w:val="Enfasigrassetto"/>
          <w:rFonts w:ascii="Segoe UI" w:hAnsi="Segoe UI" w:cs="Segoe UI"/>
          <w:sz w:val="20"/>
          <w:szCs w:val="20"/>
          <w:bdr w:val="single" w:sz="2" w:space="0" w:color="auto" w:frame="1"/>
        </w:rPr>
        <w:t>Inquadramento Generale dell'Opera</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Il manuale di </w:t>
      </w:r>
      <w:proofErr w:type="spellStart"/>
      <w:r w:rsidRPr="00A634D5">
        <w:rPr>
          <w:rFonts w:ascii="Segoe UI" w:hAnsi="Segoe UI" w:cs="Segoe UI"/>
          <w:sz w:val="20"/>
          <w:szCs w:val="20"/>
        </w:rPr>
        <w:t>Mankiw</w:t>
      </w:r>
      <w:proofErr w:type="spellEnd"/>
      <w:r w:rsidRPr="00A634D5">
        <w:rPr>
          <w:rFonts w:ascii="Segoe UI" w:hAnsi="Segoe UI" w:cs="Segoe UI"/>
          <w:sz w:val="20"/>
          <w:szCs w:val="20"/>
        </w:rPr>
        <w:t xml:space="preserve"> rappresenta l'approccio pedagogico più sistematicamente strutturato nell'insegnamento dell'economia introduttiva, caratterizzato da una filosofia didattica che privilegia la comprensione intuitiva attraverso principi unificanti e applicazioni concrete. L'architettura dell'opera, organizzata in nove parti tematiche, rivela una strategia educativa che procede dai "dieci principi dell'economia" come </w:t>
      </w:r>
      <w:proofErr w:type="spellStart"/>
      <w:r w:rsidRPr="00A634D5">
        <w:rPr>
          <w:rFonts w:ascii="Segoe UI" w:hAnsi="Segoe UI" w:cs="Segoe UI"/>
          <w:sz w:val="20"/>
          <w:szCs w:val="20"/>
        </w:rPr>
        <w:t>framework</w:t>
      </w:r>
      <w:proofErr w:type="spellEnd"/>
      <w:r w:rsidRPr="00A634D5">
        <w:rPr>
          <w:rFonts w:ascii="Segoe UI" w:hAnsi="Segoe UI" w:cs="Segoe UI"/>
          <w:sz w:val="20"/>
          <w:szCs w:val="20"/>
        </w:rPr>
        <w:t xml:space="preserve"> concettuale centrale verso applicazioni progressivamente più complesse e specializzate.</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La struttura del testo è costruita attorno ai "dieci principi fondamentali" presentati nel primo capitolo, che costituiscono il DNA concettuale dell'intera opera. Questa impostazione riflette la convinzione pedagogica che l'economia sia essenzialmente una disciplina unificata da alcuni principi universali che si applicano coerentemente a tutti i livelli di analisi, dalla scelta individuale alle politiche macroeconomiche globali.</w:t>
      </w:r>
    </w:p>
    <w:p w:rsid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L'innovazione principale risiede nell'integrazione sistematica di elementi narrativi e pedagogici come "Analisi di un Caso", "Prima Pagina", "Chiedi agli Esperti" e "Postscriptum" che rendono l'apprendimento più coinvolgente e contestualizzato. La presenza costante di quiz di verifica e risposte immediate indica un approccio che enfatizza l'apprendimento attivo e la verifica continua della comprensione.</w:t>
      </w:r>
    </w:p>
    <w:p w:rsidR="00A634D5" w:rsidRPr="00A634D5" w:rsidRDefault="00A634D5" w:rsidP="00A634D5">
      <w:pPr>
        <w:pStyle w:val="NormaleWeb"/>
        <w:spacing w:before="0" w:beforeAutospacing="0" w:after="0" w:afterAutospacing="0"/>
        <w:jc w:val="both"/>
        <w:rPr>
          <w:rFonts w:ascii="Segoe UI" w:hAnsi="Segoe UI" w:cs="Segoe UI"/>
          <w:sz w:val="20"/>
          <w:szCs w:val="20"/>
        </w:rPr>
      </w:pP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Style w:val="Enfasigrassetto"/>
          <w:rFonts w:ascii="Segoe UI" w:hAnsi="Segoe UI" w:cs="Segoe UI"/>
          <w:sz w:val="20"/>
          <w:szCs w:val="20"/>
          <w:bdr w:val="single" w:sz="2" w:space="0" w:color="auto" w:frame="1"/>
        </w:rPr>
        <w:t>Scuole di Pensiero Economiche di Riferimento</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L'impostazione teorica di </w:t>
      </w:r>
      <w:proofErr w:type="spellStart"/>
      <w:r w:rsidRPr="00A634D5">
        <w:rPr>
          <w:rFonts w:ascii="Segoe UI" w:hAnsi="Segoe UI" w:cs="Segoe UI"/>
          <w:sz w:val="20"/>
          <w:szCs w:val="20"/>
        </w:rPr>
        <w:t>Mankiw</w:t>
      </w:r>
      <w:proofErr w:type="spellEnd"/>
      <w:r w:rsidRPr="00A634D5">
        <w:rPr>
          <w:rFonts w:ascii="Segoe UI" w:hAnsi="Segoe UI" w:cs="Segoe UI"/>
          <w:sz w:val="20"/>
          <w:szCs w:val="20"/>
        </w:rPr>
        <w:t xml:space="preserve"> è prevalentemente </w:t>
      </w:r>
      <w:proofErr w:type="spellStart"/>
      <w:r w:rsidRPr="00A634D5">
        <w:rPr>
          <w:rFonts w:ascii="Segoe UI" w:hAnsi="Segoe UI" w:cs="Segoe UI"/>
          <w:sz w:val="20"/>
          <w:szCs w:val="20"/>
        </w:rPr>
        <w:t>mainstream</w:t>
      </w:r>
      <w:proofErr w:type="spellEnd"/>
      <w:r w:rsidRPr="00A634D5">
        <w:rPr>
          <w:rFonts w:ascii="Segoe UI" w:hAnsi="Segoe UI" w:cs="Segoe UI"/>
          <w:sz w:val="20"/>
          <w:szCs w:val="20"/>
        </w:rPr>
        <w:t xml:space="preserve"> con una solida base neoclassica, ma presenta un approccio equilibrato che riconosce sia i meriti che i limiti del meccanismo di mercato. Il Principio 6 ("i mercati sono di solito uno strumento efficiente per organizzare l'attività economica") presenta la tradizione smithiana, mentre il Principio 7 ("a volte l'intervento dello Stato può migliorare il risultato prodotto dal mercato") riconosce esplicitamente i fallimenti del mercato.</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La sezione microeconomica riflette l'approccio </w:t>
      </w:r>
      <w:proofErr w:type="spellStart"/>
      <w:r w:rsidRPr="00A634D5">
        <w:rPr>
          <w:rFonts w:ascii="Segoe UI" w:hAnsi="Segoe UI" w:cs="Segoe UI"/>
          <w:sz w:val="20"/>
          <w:szCs w:val="20"/>
        </w:rPr>
        <w:t>marshalliano</w:t>
      </w:r>
      <w:proofErr w:type="spellEnd"/>
      <w:r w:rsidRPr="00A634D5">
        <w:rPr>
          <w:rFonts w:ascii="Segoe UI" w:hAnsi="Segoe UI" w:cs="Segoe UI"/>
          <w:sz w:val="20"/>
          <w:szCs w:val="20"/>
        </w:rPr>
        <w:t xml:space="preserve"> classico, con particolare enfasi sull'analisi dell'equilibrio parziale e sui concetti di surplus del consumatore e del produttore. Tuttavia, l'ampio spazio dedicato ai fallimenti del mercato (Parte 4) e alle esternalità (Capitolo 10) indica un'integrazione con la moderna economia del benessere e la teoria dell'informazione.</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Sul fronte macroeconomico, l'approccio è distintamente keynesiano per l'analisi di breve periodo, con il modello di domanda e offerta aggregata che costituisce il </w:t>
      </w:r>
      <w:proofErr w:type="spellStart"/>
      <w:r w:rsidRPr="00A634D5">
        <w:rPr>
          <w:rFonts w:ascii="Segoe UI" w:hAnsi="Segoe UI" w:cs="Segoe UI"/>
          <w:sz w:val="20"/>
          <w:szCs w:val="20"/>
        </w:rPr>
        <w:t>framework</w:t>
      </w:r>
      <w:proofErr w:type="spellEnd"/>
      <w:r w:rsidRPr="00A634D5">
        <w:rPr>
          <w:rFonts w:ascii="Segoe UI" w:hAnsi="Segoe UI" w:cs="Segoe UI"/>
          <w:sz w:val="20"/>
          <w:szCs w:val="20"/>
        </w:rPr>
        <w:t xml:space="preserve"> centrale. Tuttavia, la distinzione sistematica tra breve e lungo periodo, con l'enfasi sulla neutralità della moneta nel lungo periodo (Capitolo 24), riflette l'influenza della sintesi neoclassica e delle aspettative razionali.</w:t>
      </w:r>
    </w:p>
    <w:p w:rsid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La presenza di riferimenti espliciti ad Adam Smith ("Adam Smith e la mano invisibile del mercato", "L'eredità di Adam Smith e David Ricardo") indica un rispetto per la tradizione classica, mentre l'attenzione alle politiche contemporanee riflette l'influenza delle scuole moderne di policy </w:t>
      </w:r>
      <w:proofErr w:type="spellStart"/>
      <w:r w:rsidRPr="00A634D5">
        <w:rPr>
          <w:rFonts w:ascii="Segoe UI" w:hAnsi="Segoe UI" w:cs="Segoe UI"/>
          <w:sz w:val="20"/>
          <w:szCs w:val="20"/>
        </w:rPr>
        <w:t>analysis</w:t>
      </w:r>
      <w:proofErr w:type="spellEnd"/>
      <w:r w:rsidRPr="00A634D5">
        <w:rPr>
          <w:rFonts w:ascii="Segoe UI" w:hAnsi="Segoe UI" w:cs="Segoe UI"/>
          <w:sz w:val="20"/>
          <w:szCs w:val="20"/>
        </w:rPr>
        <w:t>.</w:t>
      </w:r>
    </w:p>
    <w:p w:rsidR="00A634D5" w:rsidRPr="00A634D5" w:rsidRDefault="00A634D5" w:rsidP="00A634D5">
      <w:pPr>
        <w:pStyle w:val="NormaleWeb"/>
        <w:spacing w:before="0" w:beforeAutospacing="0" w:after="0" w:afterAutospacing="0"/>
        <w:jc w:val="both"/>
        <w:rPr>
          <w:rFonts w:ascii="Segoe UI" w:hAnsi="Segoe UI" w:cs="Segoe UI"/>
          <w:sz w:val="20"/>
          <w:szCs w:val="20"/>
        </w:rPr>
      </w:pP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Style w:val="Enfasigrassetto"/>
          <w:rFonts w:ascii="Segoe UI" w:hAnsi="Segoe UI" w:cs="Segoe UI"/>
          <w:sz w:val="20"/>
          <w:szCs w:val="20"/>
          <w:bdr w:val="single" w:sz="2" w:space="0" w:color="auto" w:frame="1"/>
        </w:rPr>
        <w:t>Modelli Economici Micro e Macroeconomici</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La struttura microeconomica presenta una progressione completa e pedagogicamente efficace dei modelli standard. Il Capitolo 4 sviluppa il modello di domanda e offerta con particolare attenzione agli aspetti grafici e alle applicazioni pratiche, mentre il Capitolo 7 introduce i concetti fondamentali di surplus del consumatore e del produttore attraverso esempi concreti e intuitive rappresentazioni grafiche.</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Il Capitolo 12 sui costi di produzione presenta la teoria dell'impresa attraverso l'approccio della funzione di produzione e delle curve di costo, con particolare enfasi sulla distinzione tra breve e lungo periodo. La sezione sulle strutture di mercato (Capitoli 13-16) presenta una trattazione completa che va dalla concorrenza perfetta al monopolio, alla concorrenza monopolistica e all'oligopolio.</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L'innovazione principale nel Capitolo 16 risiede nell'integrazione sistematica della teoria dei giochi attraverso il "dilemma del prigioniero" e l'analisi dei giochi sequenziali, rendendo accessibili concetti avanzati di economia industriale. L'analisi delle "minacce e credibilità" fornisce strumenti per comprendere le strategie competitive moderne.</w:t>
      </w:r>
    </w:p>
    <w:p w:rsid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La sezione macroeconomica presenta una sequenza logica che parte dalla misurazione degli aggregati (Capitoli 17-18) per sviluppare prima l'analisi di lungo periodo (Parte 7: crescita, sistema finanziario, disoccupazione) e poi quella di breve periodo (Parte 9: fluttuazioni e politiche di stabilizzazione). Il modello AD-AS del Capitolo 25 costituisce il </w:t>
      </w:r>
      <w:proofErr w:type="spellStart"/>
      <w:r w:rsidRPr="00A634D5">
        <w:rPr>
          <w:rFonts w:ascii="Segoe UI" w:hAnsi="Segoe UI" w:cs="Segoe UI"/>
          <w:sz w:val="20"/>
          <w:szCs w:val="20"/>
        </w:rPr>
        <w:t>framework</w:t>
      </w:r>
      <w:proofErr w:type="spellEnd"/>
      <w:r w:rsidRPr="00A634D5">
        <w:rPr>
          <w:rFonts w:ascii="Segoe UI" w:hAnsi="Segoe UI" w:cs="Segoe UI"/>
          <w:sz w:val="20"/>
          <w:szCs w:val="20"/>
        </w:rPr>
        <w:t xml:space="preserve"> centrale, integrato con l'analisi delle politiche monetarie e fiscali nel Capitolo 26.</w:t>
      </w:r>
    </w:p>
    <w:p w:rsidR="00A634D5" w:rsidRPr="00A634D5" w:rsidRDefault="00A634D5" w:rsidP="00A634D5">
      <w:pPr>
        <w:pStyle w:val="NormaleWeb"/>
        <w:spacing w:before="0" w:beforeAutospacing="0" w:after="0" w:afterAutospacing="0"/>
        <w:jc w:val="both"/>
        <w:rPr>
          <w:rFonts w:ascii="Segoe UI" w:hAnsi="Segoe UI" w:cs="Segoe UI"/>
          <w:sz w:val="20"/>
          <w:szCs w:val="20"/>
        </w:rPr>
      </w:pP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Style w:val="Enfasigrassetto"/>
          <w:rFonts w:ascii="Segoe UI" w:hAnsi="Segoe UI" w:cs="Segoe UI"/>
          <w:sz w:val="20"/>
          <w:szCs w:val="20"/>
          <w:bdr w:val="single" w:sz="2" w:space="0" w:color="auto" w:frame="1"/>
        </w:rPr>
        <w:lastRenderedPageBreak/>
        <w:t>Modelli di Crescita Economica</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La trattazione della crescita economica è concentrata nel Capitolo 19, che presenta un approccio moderno e accessibile. Il modello sviluppato enfatizza il ruolo cruciale della produttività come determinante del tenore di vita, integrando elementi del modello di </w:t>
      </w:r>
      <w:proofErr w:type="spellStart"/>
      <w:r w:rsidRPr="00A634D5">
        <w:rPr>
          <w:rFonts w:ascii="Segoe UI" w:hAnsi="Segoe UI" w:cs="Segoe UI"/>
          <w:sz w:val="20"/>
          <w:szCs w:val="20"/>
        </w:rPr>
        <w:t>Solow</w:t>
      </w:r>
      <w:proofErr w:type="spellEnd"/>
      <w:r w:rsidRPr="00A634D5">
        <w:rPr>
          <w:rFonts w:ascii="Segoe UI" w:hAnsi="Segoe UI" w:cs="Segoe UI"/>
          <w:sz w:val="20"/>
          <w:szCs w:val="20"/>
        </w:rPr>
        <w:t xml:space="preserve"> con contributi più recenti sulla crescita endogena.</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L'analisi include sistematicamente fattori come capitale fisico, capitale umano, risorse naturali, progresso tecnologico e stabilità istituzionale. La discussione sui "rendimenti decrescenti ed effetto catch-up" fornisce una spiegazione intuitiva della convergenza economica tra paesi.</w:t>
      </w:r>
    </w:p>
    <w:p w:rsid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La sezione sulle "politiche di crescita economica" presenta un approccio equilibrato che considera sia le politiche dal lato dell'offerta (risparmio, investimento, istruzione, ricerca e sviluppo) che quelle istituzionali (diritti di proprietà, stabilità politica, libero scambio). L'applicazione "Perché gran parte dell'Africa versa in povertà?" fornisce una prospettiva comparativa internazionale particolarmente rilevante.</w:t>
      </w:r>
    </w:p>
    <w:p w:rsidR="00A634D5" w:rsidRPr="00A634D5" w:rsidRDefault="00A634D5" w:rsidP="00A634D5">
      <w:pPr>
        <w:pStyle w:val="NormaleWeb"/>
        <w:spacing w:before="0" w:beforeAutospacing="0" w:after="0" w:afterAutospacing="0"/>
        <w:jc w:val="both"/>
        <w:rPr>
          <w:rFonts w:ascii="Segoe UI" w:hAnsi="Segoe UI" w:cs="Segoe UI"/>
          <w:sz w:val="20"/>
          <w:szCs w:val="20"/>
        </w:rPr>
      </w:pP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Style w:val="Enfasigrassetto"/>
          <w:rFonts w:ascii="Segoe UI" w:hAnsi="Segoe UI" w:cs="Segoe UI"/>
          <w:sz w:val="20"/>
          <w:szCs w:val="20"/>
          <w:bdr w:val="single" w:sz="2" w:space="0" w:color="auto" w:frame="1"/>
        </w:rPr>
        <w:t>Trattazione Temporale: Breve e Lungo Periodo</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L'approccio temporale di </w:t>
      </w:r>
      <w:proofErr w:type="spellStart"/>
      <w:r w:rsidRPr="00A634D5">
        <w:rPr>
          <w:rFonts w:ascii="Segoe UI" w:hAnsi="Segoe UI" w:cs="Segoe UI"/>
          <w:sz w:val="20"/>
          <w:szCs w:val="20"/>
        </w:rPr>
        <w:t>Mankiw</w:t>
      </w:r>
      <w:proofErr w:type="spellEnd"/>
      <w:r w:rsidRPr="00A634D5">
        <w:rPr>
          <w:rFonts w:ascii="Segoe UI" w:hAnsi="Segoe UI" w:cs="Segoe UI"/>
          <w:sz w:val="20"/>
          <w:szCs w:val="20"/>
        </w:rPr>
        <w:t xml:space="preserve"> è sistematicamente sviluppato e rappresenta una delle caratteristiche distintive del testo. A livello microeconomico, la distinzione temporale è introdotta nel Capitolo 12 sui costi di produzione, dove si analizzano costi fissi e variabili nel breve periodo e economie/diseconomie di scala nel lungo periodo.</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Il Capitolo 13 sulla concorrenza perfetta sviluppa questa distinzione mostrando come l'equilibrio di breve periodo (con possibili profitti o perdite) evolva verso l'equilibrio di lungo periodo (con profitto nullo) attraverso l'entrata e l'uscita di imprese. Questa progressione temporale è applicata sistematicamente negli altri modelli di mercato.</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A livello macroeconomico, la distinzione temporale è particolarmente sofisticata. La Parte 7 è dedicata interamente all'analisi di lungo periodo, con capitoli specifici su crescita (19), sistema finanziario (20-21) e disoccupazione naturale (22). La Parte 8 analizza la relazione tra moneta e prezzi nel lungo periodo, enfatizzando la neutralità della moneta.</w:t>
      </w:r>
    </w:p>
    <w:p w:rsid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La Parte 9 sulle fluttuazioni di breve periodo presenta il modello AD-AS con distinzione esplicita tra offerta aggregata di breve e lungo periodo. Il Capitolo 25 mostra chiaramente i meccanismi di aggiustamento dal breve al lungo periodo, mentre il Capitolo 26 analizza l'efficacia delle politiche di stabilizzazione nel breve periodo.</w:t>
      </w:r>
    </w:p>
    <w:p w:rsidR="00A634D5" w:rsidRPr="00A634D5" w:rsidRDefault="00A634D5" w:rsidP="00A634D5">
      <w:pPr>
        <w:pStyle w:val="NormaleWeb"/>
        <w:spacing w:before="0" w:beforeAutospacing="0" w:after="0" w:afterAutospacing="0"/>
        <w:jc w:val="both"/>
        <w:rPr>
          <w:rFonts w:ascii="Segoe UI" w:hAnsi="Segoe UI" w:cs="Segoe UI"/>
          <w:sz w:val="20"/>
          <w:szCs w:val="20"/>
        </w:rPr>
      </w:pPr>
      <w:bookmarkStart w:id="0" w:name="_GoBack"/>
      <w:bookmarkEnd w:id="0"/>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Style w:val="Enfasigrassetto"/>
          <w:rFonts w:ascii="Segoe UI" w:hAnsi="Segoe UI" w:cs="Segoe UI"/>
          <w:sz w:val="20"/>
          <w:szCs w:val="20"/>
          <w:bdr w:val="single" w:sz="2" w:space="0" w:color="auto" w:frame="1"/>
        </w:rPr>
        <w:t>Argomenti Non Standard e Innovazioni Didattiche</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Il manuale presenta numerose innovazioni didattiche che lo hanno reso il testo più utilizzato al mondo. La struttura basata sui "dieci principi fondamentali" rappresenta un'innovazione pedagogica rivoluzionaria, fornendo un </w:t>
      </w:r>
      <w:proofErr w:type="spellStart"/>
      <w:r w:rsidRPr="00A634D5">
        <w:rPr>
          <w:rFonts w:ascii="Segoe UI" w:hAnsi="Segoe UI" w:cs="Segoe UI"/>
          <w:sz w:val="20"/>
          <w:szCs w:val="20"/>
        </w:rPr>
        <w:t>framework</w:t>
      </w:r>
      <w:proofErr w:type="spellEnd"/>
      <w:r w:rsidRPr="00A634D5">
        <w:rPr>
          <w:rFonts w:ascii="Segoe UI" w:hAnsi="Segoe UI" w:cs="Segoe UI"/>
          <w:sz w:val="20"/>
          <w:szCs w:val="20"/>
        </w:rPr>
        <w:t xml:space="preserve"> concettuale unificante che collega tutti gli argomenti del corso.</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Le sezioni "Analisi di un Caso" presenti in ogni capitolo rappresentano un'innovazione importante, collegando teoria ed evidenza empirica attraverso esempi concreti e attuali. Esempi come "Adam Smith sarebbe andato pazzo per </w:t>
      </w:r>
      <w:proofErr w:type="spellStart"/>
      <w:r w:rsidRPr="00A634D5">
        <w:rPr>
          <w:rFonts w:ascii="Segoe UI" w:hAnsi="Segoe UI" w:cs="Segoe UI"/>
          <w:sz w:val="20"/>
          <w:szCs w:val="20"/>
        </w:rPr>
        <w:t>Uber</w:t>
      </w:r>
      <w:proofErr w:type="spellEnd"/>
      <w:r w:rsidRPr="00A634D5">
        <w:rPr>
          <w:rFonts w:ascii="Segoe UI" w:hAnsi="Segoe UI" w:cs="Segoe UI"/>
          <w:sz w:val="20"/>
          <w:szCs w:val="20"/>
        </w:rPr>
        <w:t>" e "Due modi per ridurre la quantità domandata di sigarette" rendono i concetti economici immediatamente rilevanti.</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Le sezioni "Prima Pagina" utilizzano articoli di giornale reali per illustrare l'applicazione dei concetti economici, mentre "Chiedi agli Esperti" presenta i risultati di </w:t>
      </w:r>
      <w:proofErr w:type="spellStart"/>
      <w:r w:rsidRPr="00A634D5">
        <w:rPr>
          <w:rFonts w:ascii="Segoe UI" w:hAnsi="Segoe UI" w:cs="Segoe UI"/>
          <w:sz w:val="20"/>
          <w:szCs w:val="20"/>
        </w:rPr>
        <w:t>survey</w:t>
      </w:r>
      <w:proofErr w:type="spellEnd"/>
      <w:r w:rsidRPr="00A634D5">
        <w:rPr>
          <w:rFonts w:ascii="Segoe UI" w:hAnsi="Segoe UI" w:cs="Segoe UI"/>
          <w:sz w:val="20"/>
          <w:szCs w:val="20"/>
        </w:rPr>
        <w:t xml:space="preserve"> tra economisti professionisti su questioni controverse, fornendo agli studenti una comprensione realistica del grado di consenso nella professione.</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Il Capitolo 21 sugli "strumenti di base della finanza" rappresenta un'innovazione significativa per un testo introduttivo, presentando concetti di valore attuale, gestione del rischio e valutazione delle attività finanziarie. L'inclusione di argomenti come "l'ipotesi dei mercati efficienti" e "l'irrazionalità del mercato" riflette l'attenzione agli sviluppi della finanza comportamentale.</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Il Capitolo 9 sul commercio internazionale presenta un'analisi particolarmente completa che include non solo la teoria del vantaggio comparativo ma anche l'analisi degli effetti distributivi del commercio e delle argomentazioni protezioniste. La discussione su "vincitori e vinti nel commercio internazionale" fornisce una prospettiva equilibrata su una delle questioni più controverse dell'economia contemporanea.</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Il Capitolo 16 sull'oligopolio presenta un'integrazione particolarmente efficace della teoria dei giochi, con esempi come il "torneo di dilemma del prigioniero" che rendono accessibili concetti avanzati. L'analisi dei "giochi sequenziali" e delle "minacce credibili" fornisce strumenti per comprendere le strategie competitive moderne.</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lastRenderedPageBreak/>
        <w:t xml:space="preserve">Il Capitolo 24 su "crescita della moneta e inflazione" include un'analisi approfondita dell'iperinflazione con il caso storico "Il mago di </w:t>
      </w:r>
      <w:proofErr w:type="spellStart"/>
      <w:r w:rsidRPr="00A634D5">
        <w:rPr>
          <w:rFonts w:ascii="Segoe UI" w:hAnsi="Segoe UI" w:cs="Segoe UI"/>
          <w:sz w:val="20"/>
          <w:szCs w:val="20"/>
        </w:rPr>
        <w:t>Oz</w:t>
      </w:r>
      <w:proofErr w:type="spellEnd"/>
      <w:r w:rsidRPr="00A634D5">
        <w:rPr>
          <w:rFonts w:ascii="Segoe UI" w:hAnsi="Segoe UI" w:cs="Segoe UI"/>
          <w:sz w:val="20"/>
          <w:szCs w:val="20"/>
        </w:rPr>
        <w:t xml:space="preserve"> e il dibattito sull'argento", che collega teoria economica e storia americana in modo particolarmente efficace.</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La presenza sistematica di "Postscriptum" che approfondiscono aspetti teorici o storici (come "A lezione in una fabbrica di spilli" nel Capitolo 12 o "Le origini del modello di domanda aggregata e offerta aggregata" nel Capitolo 25) indica un approccio che combina rigore teorico e prospettiva storica.</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 xml:space="preserve">L'inclusione di quiz di verifica con risposte immediate rappresenta un'innovazione didattica importante che facilita l'apprendimento attivo e la verifica continua della comprensione. Questa caratteristica riflette l'attenzione di </w:t>
      </w:r>
      <w:proofErr w:type="spellStart"/>
      <w:r w:rsidRPr="00A634D5">
        <w:rPr>
          <w:rFonts w:ascii="Segoe UI" w:hAnsi="Segoe UI" w:cs="Segoe UI"/>
          <w:sz w:val="20"/>
          <w:szCs w:val="20"/>
        </w:rPr>
        <w:t>Mankiw</w:t>
      </w:r>
      <w:proofErr w:type="spellEnd"/>
      <w:r w:rsidRPr="00A634D5">
        <w:rPr>
          <w:rFonts w:ascii="Segoe UI" w:hAnsi="Segoe UI" w:cs="Segoe UI"/>
          <w:sz w:val="20"/>
          <w:szCs w:val="20"/>
        </w:rPr>
        <w:t xml:space="preserve"> agli aspetti pedagogici e all'efficacia dell'apprendimento.</w:t>
      </w:r>
    </w:p>
    <w:p w:rsidR="00A634D5" w:rsidRPr="00A634D5" w:rsidRDefault="00A634D5" w:rsidP="00A634D5">
      <w:pPr>
        <w:pStyle w:val="NormaleWeb"/>
        <w:spacing w:before="0" w:beforeAutospacing="0" w:after="0" w:afterAutospacing="0"/>
        <w:jc w:val="both"/>
        <w:rPr>
          <w:rFonts w:ascii="Segoe UI" w:hAnsi="Segoe UI" w:cs="Segoe UI"/>
          <w:sz w:val="20"/>
          <w:szCs w:val="20"/>
        </w:rPr>
      </w:pPr>
      <w:r w:rsidRPr="00A634D5">
        <w:rPr>
          <w:rFonts w:ascii="Segoe UI" w:hAnsi="Segoe UI" w:cs="Segoe UI"/>
          <w:sz w:val="20"/>
          <w:szCs w:val="20"/>
        </w:rPr>
        <w:t>La sezione "Prima Pagina" del Capitolo 22 ("I salari di efficienza nella pratica") e quella del Capitolo 25 ("La strana recessione del 2020") dimostrano la capacità del testo di rimanere aggiornato con gli sviluppi economici contemporanei, includendo l'analisi della pandemia COVID-19 e dei suoi effetti economici.</w:t>
      </w:r>
    </w:p>
    <w:p w:rsidR="00D24BFA" w:rsidRPr="00A634D5" w:rsidRDefault="00D24BFA" w:rsidP="00A634D5">
      <w:pPr>
        <w:spacing w:after="0" w:line="240" w:lineRule="auto"/>
        <w:jc w:val="both"/>
        <w:rPr>
          <w:rFonts w:ascii="Segoe UI" w:hAnsi="Segoe UI" w:cs="Segoe UI"/>
          <w:sz w:val="20"/>
          <w:szCs w:val="20"/>
        </w:rPr>
      </w:pPr>
    </w:p>
    <w:sectPr w:rsidR="00D24BFA" w:rsidRPr="00A634D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4D5"/>
    <w:rsid w:val="00A634D5"/>
    <w:rsid w:val="00D24B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9903FC-143A-44B7-80C4-45188C619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A634D5"/>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A634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092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1576</Words>
  <Characters>8987</Characters>
  <Application>Microsoft Office Word</Application>
  <DocSecurity>0</DocSecurity>
  <Lines>74</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2025-09-27T07:19:00Z</dcterms:created>
  <dcterms:modified xsi:type="dcterms:W3CDTF">2025-09-27T07:20:00Z</dcterms:modified>
</cp:coreProperties>
</file>