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060" w:rsidRPr="00C27060" w:rsidRDefault="00C27060" w:rsidP="00C27060">
      <w:pPr>
        <w:pStyle w:val="NormaleWeb"/>
        <w:spacing w:before="0" w:beforeAutospacing="0" w:after="0" w:afterAutospacing="0"/>
        <w:jc w:val="center"/>
        <w:rPr>
          <w:rStyle w:val="Enfasigrassetto"/>
          <w:rFonts w:ascii="Segoe UI" w:hAnsi="Segoe UI" w:cs="Segoe UI"/>
          <w:bdr w:val="single" w:sz="2" w:space="0" w:color="auto" w:frame="1"/>
        </w:rPr>
      </w:pPr>
      <w:r w:rsidRPr="00C27060">
        <w:rPr>
          <w:rStyle w:val="Enfasigrassetto"/>
          <w:rFonts w:ascii="Segoe UI" w:hAnsi="Segoe UI" w:cs="Segoe UI"/>
          <w:bdr w:val="single" w:sz="2" w:space="0" w:color="auto" w:frame="1"/>
        </w:rPr>
        <w:t>REPORT ANALITICO: "PRINCIPI DI</w:t>
      </w:r>
      <w:r w:rsidRPr="00C27060">
        <w:rPr>
          <w:rStyle w:val="Enfasigrassetto"/>
          <w:rFonts w:ascii="Segoe UI" w:hAnsi="Segoe UI" w:cs="Segoe UI"/>
          <w:bdr w:val="single" w:sz="2" w:space="0" w:color="auto" w:frame="1"/>
        </w:rPr>
        <w:t xml:space="preserve"> ECONOMIA" – MANKIW</w:t>
      </w:r>
    </w:p>
    <w:p w:rsidR="00C27060" w:rsidRPr="00C27060" w:rsidRDefault="00C27060" w:rsidP="00C27060">
      <w:pPr>
        <w:pStyle w:val="NormaleWeb"/>
        <w:spacing w:before="0" w:beforeAutospacing="0" w:after="0" w:afterAutospacing="0"/>
        <w:rPr>
          <w:rFonts w:ascii="Segoe UI" w:hAnsi="Segoe UI" w:cs="Segoe UI"/>
          <w:sz w:val="20"/>
          <w:szCs w:val="20"/>
        </w:rPr>
      </w:pP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Style w:val="Enfasigrassetto"/>
          <w:rFonts w:ascii="Segoe UI" w:hAnsi="Segoe UI" w:cs="Segoe UI"/>
          <w:sz w:val="20"/>
          <w:szCs w:val="20"/>
          <w:bdr w:val="single" w:sz="2" w:space="0" w:color="auto" w:frame="1"/>
        </w:rPr>
        <w:t>Inquadramento Generale dell'Opera</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Il manuale "Principi di Economia" di </w:t>
      </w:r>
      <w:proofErr w:type="spellStart"/>
      <w:r w:rsidRPr="00C27060">
        <w:rPr>
          <w:rFonts w:ascii="Segoe UI" w:hAnsi="Segoe UI" w:cs="Segoe UI"/>
          <w:sz w:val="20"/>
          <w:szCs w:val="20"/>
        </w:rPr>
        <w:t>Mankiw</w:t>
      </w:r>
      <w:proofErr w:type="spellEnd"/>
      <w:r w:rsidRPr="00C27060">
        <w:rPr>
          <w:rFonts w:ascii="Segoe UI" w:hAnsi="Segoe UI" w:cs="Segoe UI"/>
          <w:sz w:val="20"/>
          <w:szCs w:val="20"/>
        </w:rPr>
        <w:t xml:space="preserve"> rappresenta la versione completa e approfondita del pensiero pedagogico dell'autore, caratterizzata da un approccio sistematico e metodologicamente rigoroso che integra teoria economica tradizionale con sviluppi contemporanei della disciplina. L'architettura dell'opera, organizzata in tredici parti tematiche e trentaquattro capitoli, rivela una strategia didattica ambiziosa che abbraccia non solo i contenuti standard dell'economia politica ma anche argomenti avanzati e prospettive eterodosse.</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La struttura del testo mantiene il </w:t>
      </w:r>
      <w:proofErr w:type="spellStart"/>
      <w:r w:rsidRPr="00C27060">
        <w:rPr>
          <w:rFonts w:ascii="Segoe UI" w:hAnsi="Segoe UI" w:cs="Segoe UI"/>
          <w:sz w:val="20"/>
          <w:szCs w:val="20"/>
        </w:rPr>
        <w:t>framework</w:t>
      </w:r>
      <w:proofErr w:type="spellEnd"/>
      <w:r w:rsidRPr="00C27060">
        <w:rPr>
          <w:rFonts w:ascii="Segoe UI" w:hAnsi="Segoe UI" w:cs="Segoe UI"/>
          <w:sz w:val="20"/>
          <w:szCs w:val="20"/>
        </w:rPr>
        <w:t xml:space="preserve"> concettuale dei "principi fondamentali dell'economia" ma li sviluppa attraverso un'analisi molto più approfondita e sofisticata rispetto alla versione "essenziale". L'innovazione principale risiede nell'integrazione sistematica di approcci teorici alternativi (Parte 8: "L'economia eterodossa") e nella trattazione estesa di tematiche contemporanee come sostenibilità, digitalizzazione e Unione Europea.</w:t>
      </w:r>
    </w:p>
    <w:p w:rsid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L'opera si distingue per l'attenzione particolare agli aspetti metodologici (Capitolo 2 sulle scuole di pensiero economico) e per l'inclusione di prospettive critiche che raramente trovano spazio nei manuali </w:t>
      </w:r>
      <w:proofErr w:type="spellStart"/>
      <w:r w:rsidRPr="00C27060">
        <w:rPr>
          <w:rFonts w:ascii="Segoe UI" w:hAnsi="Segoe UI" w:cs="Segoe UI"/>
          <w:sz w:val="20"/>
          <w:szCs w:val="20"/>
        </w:rPr>
        <w:t>mainstream</w:t>
      </w:r>
      <w:proofErr w:type="spellEnd"/>
      <w:r w:rsidRPr="00C27060">
        <w:rPr>
          <w:rFonts w:ascii="Segoe UI" w:hAnsi="Segoe UI" w:cs="Segoe UI"/>
          <w:sz w:val="20"/>
          <w:szCs w:val="20"/>
        </w:rPr>
        <w:t>. La presenza di sezioni dedicate all'economia femminista, marxista e della complessità indica un approccio pluralistico che riconosce la diversità teorica della disciplina economica.</w:t>
      </w:r>
    </w:p>
    <w:p w:rsidR="00C27060" w:rsidRPr="00C27060" w:rsidRDefault="00C27060" w:rsidP="00C27060">
      <w:pPr>
        <w:pStyle w:val="NormaleWeb"/>
        <w:spacing w:before="0" w:beforeAutospacing="0" w:after="0" w:afterAutospacing="0"/>
        <w:rPr>
          <w:rFonts w:ascii="Segoe UI" w:hAnsi="Segoe UI" w:cs="Segoe UI"/>
          <w:sz w:val="20"/>
          <w:szCs w:val="20"/>
        </w:rPr>
      </w:pP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Style w:val="Enfasigrassetto"/>
          <w:rFonts w:ascii="Segoe UI" w:hAnsi="Segoe UI" w:cs="Segoe UI"/>
          <w:sz w:val="20"/>
          <w:szCs w:val="20"/>
          <w:bdr w:val="single" w:sz="2" w:space="0" w:color="auto" w:frame="1"/>
        </w:rPr>
        <w:t>Scuole di Pensiero Economiche di Riferimento</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L'impostazione teorica di </w:t>
      </w:r>
      <w:proofErr w:type="spellStart"/>
      <w:r w:rsidRPr="00C27060">
        <w:rPr>
          <w:rFonts w:ascii="Segoe UI" w:hAnsi="Segoe UI" w:cs="Segoe UI"/>
          <w:sz w:val="20"/>
          <w:szCs w:val="20"/>
        </w:rPr>
        <w:t>Mankiw</w:t>
      </w:r>
      <w:proofErr w:type="spellEnd"/>
      <w:r w:rsidRPr="00C27060">
        <w:rPr>
          <w:rFonts w:ascii="Segoe UI" w:hAnsi="Segoe UI" w:cs="Segoe UI"/>
          <w:sz w:val="20"/>
          <w:szCs w:val="20"/>
        </w:rPr>
        <w:t xml:space="preserve"> in questa versione completa è caratterizzata da un pluralismo metodologico esplicito e sistematico. Mentre mantiene una base solidamente neoclassica, il testo presenta un approccio molto più inclusivo verso le scuole di pensiero alternative. Il Capitolo 2 identifica esplicitamente diverse tradizioni: economia neoclassica, femminista, marxista e scuola austriaca, fornendo agli studenti una mappa concettuale della diversità teorica esistente.</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La sezione microeconomica (Parti 2-5) segue l'approccio </w:t>
      </w:r>
      <w:proofErr w:type="spellStart"/>
      <w:r w:rsidRPr="00C27060">
        <w:rPr>
          <w:rFonts w:ascii="Segoe UI" w:hAnsi="Segoe UI" w:cs="Segoe UI"/>
          <w:sz w:val="20"/>
          <w:szCs w:val="20"/>
        </w:rPr>
        <w:t>marshalliano</w:t>
      </w:r>
      <w:proofErr w:type="spellEnd"/>
      <w:r w:rsidRPr="00C27060">
        <w:rPr>
          <w:rFonts w:ascii="Segoe UI" w:hAnsi="Segoe UI" w:cs="Segoe UI"/>
          <w:sz w:val="20"/>
          <w:szCs w:val="20"/>
        </w:rPr>
        <w:t xml:space="preserve"> tradizionale ma integra sistematicamente elementi di economia comportamentale, teoria dell'informazione e economia istituzionale. Il Capitolo 4 sulle scelte del consumatore include esplicitamente "approcci comportamentali" che incorporano </w:t>
      </w:r>
      <w:proofErr w:type="spellStart"/>
      <w:r w:rsidRPr="00C27060">
        <w:rPr>
          <w:rFonts w:ascii="Segoe UI" w:hAnsi="Segoe UI" w:cs="Segoe UI"/>
          <w:sz w:val="20"/>
          <w:szCs w:val="20"/>
        </w:rPr>
        <w:t>bias</w:t>
      </w:r>
      <w:proofErr w:type="spellEnd"/>
      <w:r w:rsidRPr="00C27060">
        <w:rPr>
          <w:rFonts w:ascii="Segoe UI" w:hAnsi="Segoe UI" w:cs="Segoe UI"/>
          <w:sz w:val="20"/>
          <w:szCs w:val="20"/>
        </w:rPr>
        <w:t xml:space="preserve"> cognitivi e limitazioni alla razionalità.</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La Parte 8 sull'"economia eterodossa" rappresenta un'innovazione unica nel panorama dei manuali introduttivi, presentando sistematicamente economia istituzionale, femminista e della complessità. Questa scelta riflette il riconoscimento che l'economia contemporanea è caratterizzata da una pluralità di approcci teorici, ciascuno con contributi specifici alla comprensione dei fenomeni economici.</w:t>
      </w:r>
    </w:p>
    <w:p w:rsid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Sul fronte macroeconomico, l'approccio è particolarmente sofisticato, integrando modelli keynesiani tradizionali (IS-LM nel Capitolo 27) con sviluppi più recenti come i modelli DSGE (Capitolo 26) e la teoria monetaria moderna (Capitolo 32). Questa diversità metodologica fornisce agli studenti una comprensione più completa e realistica del dibattito macroeconomico contemporaneo.</w:t>
      </w:r>
    </w:p>
    <w:p w:rsidR="00C27060" w:rsidRPr="00C27060" w:rsidRDefault="00C27060" w:rsidP="00C27060">
      <w:pPr>
        <w:pStyle w:val="NormaleWeb"/>
        <w:spacing w:before="0" w:beforeAutospacing="0" w:after="0" w:afterAutospacing="0"/>
        <w:rPr>
          <w:rFonts w:ascii="Segoe UI" w:hAnsi="Segoe UI" w:cs="Segoe UI"/>
          <w:sz w:val="20"/>
          <w:szCs w:val="20"/>
        </w:rPr>
      </w:pP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Style w:val="Enfasigrassetto"/>
          <w:rFonts w:ascii="Segoe UI" w:hAnsi="Segoe UI" w:cs="Segoe UI"/>
          <w:sz w:val="20"/>
          <w:szCs w:val="20"/>
          <w:bdr w:val="single" w:sz="2" w:space="0" w:color="auto" w:frame="1"/>
        </w:rPr>
        <w:t>Modelli Economici Micro e Macroeconomici</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La struttura microeconomica presenta una progressione particolarmente completa e rigorosa. Il Capitolo 4 sviluppa la teoria del consumatore attraverso sia l'approccio dell'utilità marginale che quello delle curve di indifferenza, includendo analisi avanzate come "sentiero di espansione del reddito" e "curva di Engel". L'integrazione di elementi comportamentali (</w:t>
      </w:r>
      <w:proofErr w:type="spellStart"/>
      <w:r w:rsidRPr="00C27060">
        <w:rPr>
          <w:rFonts w:ascii="Segoe UI" w:hAnsi="Segoe UI" w:cs="Segoe UI"/>
          <w:sz w:val="20"/>
          <w:szCs w:val="20"/>
        </w:rPr>
        <w:t>overconfidence</w:t>
      </w:r>
      <w:proofErr w:type="spellEnd"/>
      <w:r w:rsidRPr="00C27060">
        <w:rPr>
          <w:rFonts w:ascii="Segoe UI" w:hAnsi="Segoe UI" w:cs="Segoe UI"/>
          <w:sz w:val="20"/>
          <w:szCs w:val="20"/>
        </w:rPr>
        <w:t>, euristica, resistenza al cambiamento) rappresenta un'innovazione significativa.</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Il Capitolo 6 presenta la teoria dell'impresa con particolare attenzione agli aspetti tecnici, includendo analisi attraverso isoquanti e isocosti che raramente si trovano in testi introduttivi. La sezione sulle strutture di mercato (Capitoli 11-14) è particolarmente innovativa, includendo non solo i modelli standard ma anche la teoria dei mercati contendibili (Capitolo 14), che fornisce una prospettiva alternativa sull'analisi della concorrenza.</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La sezione macroeconomica presenta una sequenza particolarmente sofisticata che integra diversi </w:t>
      </w:r>
      <w:proofErr w:type="spellStart"/>
      <w:r w:rsidRPr="00C27060">
        <w:rPr>
          <w:rFonts w:ascii="Segoe UI" w:hAnsi="Segoe UI" w:cs="Segoe UI"/>
          <w:sz w:val="20"/>
          <w:szCs w:val="20"/>
        </w:rPr>
        <w:t>framework</w:t>
      </w:r>
      <w:proofErr w:type="spellEnd"/>
      <w:r w:rsidRPr="00C27060">
        <w:rPr>
          <w:rFonts w:ascii="Segoe UI" w:hAnsi="Segoe UI" w:cs="Segoe UI"/>
          <w:sz w:val="20"/>
          <w:szCs w:val="20"/>
        </w:rPr>
        <w:t xml:space="preserve"> teorici. Il Capitolo 26 sui cicli economici presenta esplicitamente diversi modelli (nuovo classico, neokeynesiano, ciclo economico reale) fornendo una panoramica completa delle teorie contemporanee. Il </w:t>
      </w:r>
      <w:r w:rsidRPr="00C27060">
        <w:rPr>
          <w:rFonts w:ascii="Segoe UI" w:hAnsi="Segoe UI" w:cs="Segoe UI"/>
          <w:sz w:val="20"/>
          <w:szCs w:val="20"/>
        </w:rPr>
        <w:lastRenderedPageBreak/>
        <w:t xml:space="preserve">Capitolo 27 sviluppa il modello IS-LM tradizionale ma include anche il "modello di </w:t>
      </w:r>
      <w:proofErr w:type="spellStart"/>
      <w:r w:rsidRPr="00C27060">
        <w:rPr>
          <w:rFonts w:ascii="Segoe UI" w:hAnsi="Segoe UI" w:cs="Segoe UI"/>
          <w:sz w:val="20"/>
          <w:szCs w:val="20"/>
        </w:rPr>
        <w:t>Romer</w:t>
      </w:r>
      <w:proofErr w:type="spellEnd"/>
      <w:r w:rsidRPr="00C27060">
        <w:rPr>
          <w:rFonts w:ascii="Segoe UI" w:hAnsi="Segoe UI" w:cs="Segoe UI"/>
          <w:sz w:val="20"/>
          <w:szCs w:val="20"/>
        </w:rPr>
        <w:t>" come alternativa moderna.</w:t>
      </w:r>
    </w:p>
    <w:p w:rsid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Il modello AD-AS del Capitolo 28 è integrato con l'analisi dell'economia neokeynesiana, mentre il Capitolo 30 presenta un'analisi approfondita della curva di Phillips che include aspettative razionali, </w:t>
      </w:r>
      <w:proofErr w:type="spellStart"/>
      <w:r w:rsidRPr="00C27060">
        <w:rPr>
          <w:rFonts w:ascii="Segoe UI" w:hAnsi="Segoe UI" w:cs="Segoe UI"/>
          <w:sz w:val="20"/>
          <w:szCs w:val="20"/>
        </w:rPr>
        <w:t>inflation</w:t>
      </w:r>
      <w:proofErr w:type="spellEnd"/>
      <w:r w:rsidRPr="00C27060">
        <w:rPr>
          <w:rFonts w:ascii="Segoe UI" w:hAnsi="Segoe UI" w:cs="Segoe UI"/>
          <w:sz w:val="20"/>
          <w:szCs w:val="20"/>
        </w:rPr>
        <w:t xml:space="preserve"> </w:t>
      </w:r>
      <w:proofErr w:type="spellStart"/>
      <w:r w:rsidRPr="00C27060">
        <w:rPr>
          <w:rFonts w:ascii="Segoe UI" w:hAnsi="Segoe UI" w:cs="Segoe UI"/>
          <w:sz w:val="20"/>
          <w:szCs w:val="20"/>
        </w:rPr>
        <w:t>targeting</w:t>
      </w:r>
      <w:proofErr w:type="spellEnd"/>
      <w:r w:rsidRPr="00C27060">
        <w:rPr>
          <w:rFonts w:ascii="Segoe UI" w:hAnsi="Segoe UI" w:cs="Segoe UI"/>
          <w:sz w:val="20"/>
          <w:szCs w:val="20"/>
        </w:rPr>
        <w:t xml:space="preserve"> e regola di Taylor. Questa progressione fornisce agli studenti una comprensione completa dell'evoluzione del pensiero macroeconomico.</w:t>
      </w:r>
    </w:p>
    <w:p w:rsidR="00C27060" w:rsidRPr="00C27060" w:rsidRDefault="00C27060" w:rsidP="00C27060">
      <w:pPr>
        <w:pStyle w:val="NormaleWeb"/>
        <w:spacing w:before="0" w:beforeAutospacing="0" w:after="0" w:afterAutospacing="0"/>
        <w:rPr>
          <w:rFonts w:ascii="Segoe UI" w:hAnsi="Segoe UI" w:cs="Segoe UI"/>
          <w:sz w:val="20"/>
          <w:szCs w:val="20"/>
        </w:rPr>
      </w:pP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Style w:val="Enfasigrassetto"/>
          <w:rFonts w:ascii="Segoe UI" w:hAnsi="Segoe UI" w:cs="Segoe UI"/>
          <w:sz w:val="20"/>
          <w:szCs w:val="20"/>
          <w:bdr w:val="single" w:sz="2" w:space="0" w:color="auto" w:frame="1"/>
        </w:rPr>
        <w:t>Modelli di Crescita Economica</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La trattazione della crescita economica è particolarmente approfondita e moderna, concentrata principalmente nel Capitolo 21 ma integrata con elementi di teoria della crescita endogena. Il modello presenta sistematicamente i fattori tradizionali (capitale fisico, lavoro, progresso tecnologico) ma include anche elementi più avanzati come effetti di </w:t>
      </w:r>
      <w:proofErr w:type="spellStart"/>
      <w:r w:rsidRPr="00C27060">
        <w:rPr>
          <w:rFonts w:ascii="Segoe UI" w:hAnsi="Segoe UI" w:cs="Segoe UI"/>
          <w:sz w:val="20"/>
          <w:szCs w:val="20"/>
        </w:rPr>
        <w:t>spillover</w:t>
      </w:r>
      <w:proofErr w:type="spellEnd"/>
      <w:r w:rsidRPr="00C27060">
        <w:rPr>
          <w:rFonts w:ascii="Segoe UI" w:hAnsi="Segoe UI" w:cs="Segoe UI"/>
          <w:sz w:val="20"/>
          <w:szCs w:val="20"/>
        </w:rPr>
        <w:t xml:space="preserve">, rendimenti crescenti e </w:t>
      </w:r>
      <w:proofErr w:type="spellStart"/>
      <w:r w:rsidRPr="00C27060">
        <w:rPr>
          <w:rFonts w:ascii="Segoe UI" w:hAnsi="Segoe UI" w:cs="Segoe UI"/>
          <w:sz w:val="20"/>
          <w:szCs w:val="20"/>
        </w:rPr>
        <w:t>path</w:t>
      </w:r>
      <w:proofErr w:type="spellEnd"/>
      <w:r w:rsidRPr="00C27060">
        <w:rPr>
          <w:rFonts w:ascii="Segoe UI" w:hAnsi="Segoe UI" w:cs="Segoe UI"/>
          <w:sz w:val="20"/>
          <w:szCs w:val="20"/>
        </w:rPr>
        <w:t xml:space="preserve"> </w:t>
      </w:r>
      <w:proofErr w:type="spellStart"/>
      <w:r w:rsidRPr="00C27060">
        <w:rPr>
          <w:rFonts w:ascii="Segoe UI" w:hAnsi="Segoe UI" w:cs="Segoe UI"/>
          <w:sz w:val="20"/>
          <w:szCs w:val="20"/>
        </w:rPr>
        <w:t>dependence</w:t>
      </w:r>
      <w:proofErr w:type="spellEnd"/>
      <w:r w:rsidRPr="00C27060">
        <w:rPr>
          <w:rFonts w:ascii="Segoe UI" w:hAnsi="Segoe UI" w:cs="Segoe UI"/>
          <w:sz w:val="20"/>
          <w:szCs w:val="20"/>
        </w:rPr>
        <w:t>.</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L'analisi include esplicitamente la "teoria della crescita endogena" come sviluppo moderno che supera i limiti del modello di </w:t>
      </w:r>
      <w:proofErr w:type="spellStart"/>
      <w:r w:rsidRPr="00C27060">
        <w:rPr>
          <w:rFonts w:ascii="Segoe UI" w:hAnsi="Segoe UI" w:cs="Segoe UI"/>
          <w:sz w:val="20"/>
          <w:szCs w:val="20"/>
        </w:rPr>
        <w:t>Solow</w:t>
      </w:r>
      <w:proofErr w:type="spellEnd"/>
      <w:r w:rsidRPr="00C27060">
        <w:rPr>
          <w:rFonts w:ascii="Segoe UI" w:hAnsi="Segoe UI" w:cs="Segoe UI"/>
          <w:sz w:val="20"/>
          <w:szCs w:val="20"/>
        </w:rPr>
        <w:t xml:space="preserve"> tradizionale. La discussione sui "rendimenti crescenti" (nella sezione "Prima Pagina") fornisce una prospettiva contemporanea che riflette i contributi di </w:t>
      </w:r>
      <w:proofErr w:type="spellStart"/>
      <w:r w:rsidRPr="00C27060">
        <w:rPr>
          <w:rFonts w:ascii="Segoe UI" w:hAnsi="Segoe UI" w:cs="Segoe UI"/>
          <w:sz w:val="20"/>
          <w:szCs w:val="20"/>
        </w:rPr>
        <w:t>Romer</w:t>
      </w:r>
      <w:proofErr w:type="spellEnd"/>
      <w:r w:rsidRPr="00C27060">
        <w:rPr>
          <w:rFonts w:ascii="Segoe UI" w:hAnsi="Segoe UI" w:cs="Segoe UI"/>
          <w:sz w:val="20"/>
          <w:szCs w:val="20"/>
        </w:rPr>
        <w:t xml:space="preserve"> e della nuova teoria della crescita.</w:t>
      </w:r>
    </w:p>
    <w:p w:rsid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La sezione sulle politiche di crescita è particolarmente completa, includendo non solo fattori economici tradizionali ma anche aspetti istituzionali, ambientali e sociali. Il Postscriptum su "crescita economica e cambiamento climatico" riflette l'attenzione alle sfide contemporanee della sostenibilità.</w:t>
      </w:r>
    </w:p>
    <w:p w:rsidR="00C27060" w:rsidRPr="00C27060" w:rsidRDefault="00C27060" w:rsidP="00C27060">
      <w:pPr>
        <w:pStyle w:val="NormaleWeb"/>
        <w:spacing w:before="0" w:beforeAutospacing="0" w:after="0" w:afterAutospacing="0"/>
        <w:rPr>
          <w:rFonts w:ascii="Segoe UI" w:hAnsi="Segoe UI" w:cs="Segoe UI"/>
          <w:sz w:val="20"/>
          <w:szCs w:val="20"/>
        </w:rPr>
      </w:pP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Style w:val="Enfasigrassetto"/>
          <w:rFonts w:ascii="Segoe UI" w:hAnsi="Segoe UI" w:cs="Segoe UI"/>
          <w:sz w:val="20"/>
          <w:szCs w:val="20"/>
          <w:bdr w:val="single" w:sz="2" w:space="0" w:color="auto" w:frame="1"/>
        </w:rPr>
        <w:t>Trattazione Temporale: Breve e Lungo Periodo</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L'approccio temporale di </w:t>
      </w:r>
      <w:proofErr w:type="spellStart"/>
      <w:r w:rsidRPr="00C27060">
        <w:rPr>
          <w:rFonts w:ascii="Segoe UI" w:hAnsi="Segoe UI" w:cs="Segoe UI"/>
          <w:sz w:val="20"/>
          <w:szCs w:val="20"/>
        </w:rPr>
        <w:t>Mankiw</w:t>
      </w:r>
      <w:proofErr w:type="spellEnd"/>
      <w:r w:rsidRPr="00C27060">
        <w:rPr>
          <w:rFonts w:ascii="Segoe UI" w:hAnsi="Segoe UI" w:cs="Segoe UI"/>
          <w:sz w:val="20"/>
          <w:szCs w:val="20"/>
        </w:rPr>
        <w:t xml:space="preserve"> è sistematicamente sviluppato e rappresenta una delle caratteristiche più sofisticate dell'opera. A livello microeconomico, la distinzione è sviluppata attraverso l'analisi dei costi fissi e variabili (Capitolo 5) e delle economie di scala (con particolare attenzione alle economie di scala esterne).</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Il Capitolo 6 presenta un'analisi particolarmente dettagliata delle decisioni temporali dell'impresa, distinguendo tra decisioni di breve periodo (sospensione temporanea) e lungo periodo (entrata/uscita dal mercato). L'analisi degli isoquanti e isocosti fornisce strumenti avanzati per comprendere l'ottimizzazione intertemporale.</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A livello macroeconomico, la distinzione temporale è particolarmente sofisticata. La Parte 10 è dedicata interamente all'economia di lungo periodo, con analisi approfondita di crescita, sistema finanziario e mercato del lavoro. La Parte 12 sulle fluttuazioni di breve periodo presenta modelli che integrano esplicitamente aspettative e meccanismi di aggiustamento temporale.</w:t>
      </w:r>
    </w:p>
    <w:p w:rsid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Il Capitolo 30 sulla curva di Phillips presenta un'analisi particolarmente avanzata della dinamica temporale, distinguendo tra effetti di breve e lungo periodo delle politiche monetarie e includendo il ruolo delle aspettative razionali nell'accelerare i processi di aggiustamento.</w:t>
      </w:r>
    </w:p>
    <w:p w:rsidR="00C27060" w:rsidRPr="00C27060" w:rsidRDefault="00C27060" w:rsidP="00C27060">
      <w:pPr>
        <w:pStyle w:val="NormaleWeb"/>
        <w:spacing w:before="0" w:beforeAutospacing="0" w:after="0" w:afterAutospacing="0"/>
        <w:rPr>
          <w:rFonts w:ascii="Segoe UI" w:hAnsi="Segoe UI" w:cs="Segoe UI"/>
          <w:sz w:val="20"/>
          <w:szCs w:val="20"/>
        </w:rPr>
      </w:pPr>
      <w:bookmarkStart w:id="0" w:name="_GoBack"/>
      <w:bookmarkEnd w:id="0"/>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Style w:val="Enfasigrassetto"/>
          <w:rFonts w:ascii="Segoe UI" w:hAnsi="Segoe UI" w:cs="Segoe UI"/>
          <w:sz w:val="20"/>
          <w:szCs w:val="20"/>
          <w:bdr w:val="single" w:sz="2" w:space="0" w:color="auto" w:frame="1"/>
        </w:rPr>
        <w:t>Argomenti Non Standard e Innovazioni Didattiche</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Il manuale presenta numerose innovazioni che lo rendono unico nel panorama dei testi introduttivi. La Parte 8 sull'"economia eterodossa" rappresenta probabilmente l'innovazione più significativa, presentando sistematicamente approcci teorici alternativi che raramente trovano spazio nei manuali </w:t>
      </w:r>
      <w:proofErr w:type="spellStart"/>
      <w:r w:rsidRPr="00C27060">
        <w:rPr>
          <w:rFonts w:ascii="Segoe UI" w:hAnsi="Segoe UI" w:cs="Segoe UI"/>
          <w:sz w:val="20"/>
          <w:szCs w:val="20"/>
        </w:rPr>
        <w:t>mainstream</w:t>
      </w:r>
      <w:proofErr w:type="spellEnd"/>
      <w:r w:rsidRPr="00C27060">
        <w:rPr>
          <w:rFonts w:ascii="Segoe UI" w:hAnsi="Segoe UI" w:cs="Segoe UI"/>
          <w:sz w:val="20"/>
          <w:szCs w:val="20"/>
        </w:rPr>
        <w:t>.</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Il Capitolo 18 sull'economia dell'informazione e comportamentale integra sistematicamente teoria dei giochi, problemi principale-agente e </w:t>
      </w:r>
      <w:proofErr w:type="spellStart"/>
      <w:r w:rsidRPr="00C27060">
        <w:rPr>
          <w:rFonts w:ascii="Segoe UI" w:hAnsi="Segoe UI" w:cs="Segoe UI"/>
          <w:sz w:val="20"/>
          <w:szCs w:val="20"/>
        </w:rPr>
        <w:t>bias</w:t>
      </w:r>
      <w:proofErr w:type="spellEnd"/>
      <w:r w:rsidRPr="00C27060">
        <w:rPr>
          <w:rFonts w:ascii="Segoe UI" w:hAnsi="Segoe UI" w:cs="Segoe UI"/>
          <w:sz w:val="20"/>
          <w:szCs w:val="20"/>
        </w:rPr>
        <w:t xml:space="preserve"> comportamentali. L'inclusione di argomenti come "incoerenza temporale" e "economia della felicità" riflette l'attenzione agli sviluppi più recenti della disciplina.</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Il Capitolo 19 sulle teorie economiche eterodosse presenta un'analisi approfondita di economia istituzionale (con particolare attenzione a </w:t>
      </w:r>
      <w:proofErr w:type="spellStart"/>
      <w:r w:rsidRPr="00C27060">
        <w:rPr>
          <w:rFonts w:ascii="Segoe UI" w:hAnsi="Segoe UI" w:cs="Segoe UI"/>
          <w:sz w:val="20"/>
          <w:szCs w:val="20"/>
        </w:rPr>
        <w:t>Coase</w:t>
      </w:r>
      <w:proofErr w:type="spellEnd"/>
      <w:r w:rsidRPr="00C27060">
        <w:rPr>
          <w:rFonts w:ascii="Segoe UI" w:hAnsi="Segoe UI" w:cs="Segoe UI"/>
          <w:sz w:val="20"/>
          <w:szCs w:val="20"/>
        </w:rPr>
        <w:t xml:space="preserve"> e </w:t>
      </w:r>
      <w:proofErr w:type="spellStart"/>
      <w:r w:rsidRPr="00C27060">
        <w:rPr>
          <w:rFonts w:ascii="Segoe UI" w:hAnsi="Segoe UI" w:cs="Segoe UI"/>
          <w:sz w:val="20"/>
          <w:szCs w:val="20"/>
        </w:rPr>
        <w:t>Williamson</w:t>
      </w:r>
      <w:proofErr w:type="spellEnd"/>
      <w:r w:rsidRPr="00C27060">
        <w:rPr>
          <w:rFonts w:ascii="Segoe UI" w:hAnsi="Segoe UI" w:cs="Segoe UI"/>
          <w:sz w:val="20"/>
          <w:szCs w:val="20"/>
        </w:rPr>
        <w:t xml:space="preserve">), economia femminista e economia della complessità. Questa sezione fornisce agli studenti una comprensione critica dei limiti dell'approccio </w:t>
      </w:r>
      <w:proofErr w:type="spellStart"/>
      <w:r w:rsidRPr="00C27060">
        <w:rPr>
          <w:rFonts w:ascii="Segoe UI" w:hAnsi="Segoe UI" w:cs="Segoe UI"/>
          <w:sz w:val="20"/>
          <w:szCs w:val="20"/>
        </w:rPr>
        <w:t>mainstream</w:t>
      </w:r>
      <w:proofErr w:type="spellEnd"/>
      <w:r w:rsidRPr="00C27060">
        <w:rPr>
          <w:rFonts w:ascii="Segoe UI" w:hAnsi="Segoe UI" w:cs="Segoe UI"/>
          <w:sz w:val="20"/>
          <w:szCs w:val="20"/>
        </w:rPr>
        <w:t xml:space="preserve"> e delle alternative teoriche disponibili.</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La Parte 13 sulla macroeconomia internazionale è particolarmente innovativa, includendo non solo argomenti standard ma anche analisi contemporanee di shock economici (Capitolo 32), Unione Europea (Capitolo 33) ed economia della sostenibilità (Capitolo 34). Questi capitoli riflettono l'impegno dell'autore a mantenere il testo aggiornato con le sfide economiche contemporanee.</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Il Capitolo 32 sugli shock economici presenta un'analisi approfondita della crisi finanziaria 2007-2009, della crisi del debito sovrano europeo e della teoria monetaria moderna. L'inclusione di argomenti come "ipotesi </w:t>
      </w:r>
      <w:r w:rsidRPr="00C27060">
        <w:rPr>
          <w:rFonts w:ascii="Segoe UI" w:hAnsi="Segoe UI" w:cs="Segoe UI"/>
          <w:sz w:val="20"/>
          <w:szCs w:val="20"/>
        </w:rPr>
        <w:lastRenderedPageBreak/>
        <w:t xml:space="preserve">dell'instabilità finanziaria di </w:t>
      </w:r>
      <w:proofErr w:type="spellStart"/>
      <w:r w:rsidRPr="00C27060">
        <w:rPr>
          <w:rFonts w:ascii="Segoe UI" w:hAnsi="Segoe UI" w:cs="Segoe UI"/>
          <w:sz w:val="20"/>
          <w:szCs w:val="20"/>
        </w:rPr>
        <w:t>Minsky</w:t>
      </w:r>
      <w:proofErr w:type="spellEnd"/>
      <w:r w:rsidRPr="00C27060">
        <w:rPr>
          <w:rFonts w:ascii="Segoe UI" w:hAnsi="Segoe UI" w:cs="Segoe UI"/>
          <w:sz w:val="20"/>
          <w:szCs w:val="20"/>
        </w:rPr>
        <w:t>" e "</w:t>
      </w:r>
      <w:proofErr w:type="spellStart"/>
      <w:r w:rsidRPr="00C27060">
        <w:rPr>
          <w:rFonts w:ascii="Segoe UI" w:hAnsi="Segoe UI" w:cs="Segoe UI"/>
          <w:sz w:val="20"/>
          <w:szCs w:val="20"/>
        </w:rPr>
        <w:t>gig</w:t>
      </w:r>
      <w:proofErr w:type="spellEnd"/>
      <w:r w:rsidRPr="00C27060">
        <w:rPr>
          <w:rFonts w:ascii="Segoe UI" w:hAnsi="Segoe UI" w:cs="Segoe UI"/>
          <w:sz w:val="20"/>
          <w:szCs w:val="20"/>
        </w:rPr>
        <w:t xml:space="preserve"> economy" dimostra l'attenzione agli sviluppi teorici e empirici più recenti.</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Il Capitolo 34 sull'economia della sostenibilità rappresenta un'innovazione particolarmente significativa, integrando analisi economica tradizionale con problematiche ambientali e climatiche. L'inclusione del "rapporto Stern" e dell'analisi della COP26 riflette l'importanza crescente di questi temi nell'agenda economica contemporanea.</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 xml:space="preserve">L'approccio pedagogico mantiene le caratteristiche distintive di </w:t>
      </w:r>
      <w:proofErr w:type="spellStart"/>
      <w:r w:rsidRPr="00C27060">
        <w:rPr>
          <w:rFonts w:ascii="Segoe UI" w:hAnsi="Segoe UI" w:cs="Segoe UI"/>
          <w:sz w:val="20"/>
          <w:szCs w:val="20"/>
        </w:rPr>
        <w:t>Mankiw</w:t>
      </w:r>
      <w:proofErr w:type="spellEnd"/>
      <w:r w:rsidRPr="00C27060">
        <w:rPr>
          <w:rFonts w:ascii="Segoe UI" w:hAnsi="Segoe UI" w:cs="Segoe UI"/>
          <w:sz w:val="20"/>
          <w:szCs w:val="20"/>
        </w:rPr>
        <w:t xml:space="preserve"> (Analisi di un Caso, Prima Pagina, Postscriptum) ma le arricchisce con contenuti più sofisticati e contemporanei. La presenza sistematica di riferimenti a COVID-19, digitalizzazione e cambiamento climatico dimostra la capacità dell'opera di rimanere aggiornata con gli sviluppi più recenti.</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La sezione sulle risorse digitali (test interattivi, grafici interattivi, video) indica un approccio moderno che integra tecnologie educative avanzate, mentre la presenza di formule matematiche raccolte in un elenco separato facilita la consultazione e lo studio.</w:t>
      </w:r>
    </w:p>
    <w:p w:rsidR="00C27060" w:rsidRPr="00C27060" w:rsidRDefault="00C27060" w:rsidP="00C27060">
      <w:pPr>
        <w:pStyle w:val="NormaleWeb"/>
        <w:spacing w:before="0" w:beforeAutospacing="0" w:after="0" w:afterAutospacing="0"/>
        <w:rPr>
          <w:rFonts w:ascii="Segoe UI" w:hAnsi="Segoe UI" w:cs="Segoe UI"/>
          <w:sz w:val="20"/>
          <w:szCs w:val="20"/>
        </w:rPr>
      </w:pPr>
      <w:r w:rsidRPr="00C27060">
        <w:rPr>
          <w:rFonts w:ascii="Segoe UI" w:hAnsi="Segoe UI" w:cs="Segoe UI"/>
          <w:sz w:val="20"/>
          <w:szCs w:val="20"/>
        </w:rPr>
        <w:t>L'inclusione di prospettive critiche come l'economia marxista (Capitolo 15 e 20), la scuola austriaca (con particolare attenzione alla teoria del ciclo economico) e l'economia femminista rappresenta un tentativo di fornire agli studenti una formazione economica più completa e pluralistica, preparandoli a comprendere la complessità e la diversità del dibattito economico contemporaneo.</w:t>
      </w:r>
    </w:p>
    <w:p w:rsidR="00D24BFA" w:rsidRPr="00C27060" w:rsidRDefault="00D24BFA" w:rsidP="00C27060">
      <w:pPr>
        <w:spacing w:after="0" w:line="240" w:lineRule="auto"/>
        <w:rPr>
          <w:rFonts w:ascii="Segoe UI" w:hAnsi="Segoe UI" w:cs="Segoe UI"/>
          <w:sz w:val="20"/>
          <w:szCs w:val="20"/>
        </w:rPr>
      </w:pPr>
    </w:p>
    <w:sectPr w:rsidR="00D24BFA" w:rsidRPr="00C2706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060"/>
    <w:rsid w:val="00C27060"/>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9FDAFD-CC36-4E45-8DD2-E5B1AB5F5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C27060"/>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C270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326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1550</Words>
  <Characters>8836</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2025-09-27T07:23:00Z</dcterms:created>
  <dcterms:modified xsi:type="dcterms:W3CDTF">2025-09-27T07:25:00Z</dcterms:modified>
</cp:coreProperties>
</file>