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199" w:rsidRPr="00FA7199" w:rsidRDefault="00FA7199" w:rsidP="00FA7199">
      <w:pPr>
        <w:pStyle w:val="NormaleWeb"/>
        <w:spacing w:before="0" w:beforeAutospacing="0" w:after="0" w:afterAutospacing="0"/>
        <w:jc w:val="center"/>
        <w:rPr>
          <w:rStyle w:val="Enfasigrassetto"/>
          <w:rFonts w:ascii="Segoe UI" w:hAnsi="Segoe UI" w:cs="Segoe UI"/>
          <w:bdr w:val="single" w:sz="2" w:space="0" w:color="auto" w:frame="1"/>
        </w:rPr>
      </w:pPr>
      <w:r w:rsidRPr="00FA7199">
        <w:rPr>
          <w:rStyle w:val="Enfasigrassetto"/>
          <w:rFonts w:ascii="Segoe UI" w:hAnsi="Segoe UI" w:cs="Segoe UI"/>
          <w:bdr w:val="single" w:sz="2" w:space="0" w:color="auto" w:frame="1"/>
        </w:rPr>
        <w:t>REPORT ANALITICO: "ECONOMIA" - PA</w:t>
      </w:r>
      <w:r w:rsidRPr="00FA7199">
        <w:rPr>
          <w:rStyle w:val="Enfasigrassetto"/>
          <w:rFonts w:ascii="Segoe UI" w:hAnsi="Segoe UI" w:cs="Segoe UI"/>
          <w:bdr w:val="single" w:sz="2" w:space="0" w:color="auto" w:frame="1"/>
        </w:rPr>
        <w:t>RRAVICINI, GRAFFI</w:t>
      </w:r>
    </w:p>
    <w:p w:rsidR="00FA7199" w:rsidRPr="00FA7199" w:rsidRDefault="00FA7199" w:rsidP="00FA7199">
      <w:pPr>
        <w:pStyle w:val="NormaleWeb"/>
        <w:spacing w:before="0" w:beforeAutospacing="0" w:after="0" w:afterAutospacing="0"/>
        <w:jc w:val="both"/>
        <w:rPr>
          <w:rFonts w:ascii="Segoe UI" w:hAnsi="Segoe UI" w:cs="Segoe UI"/>
          <w:sz w:val="20"/>
          <w:szCs w:val="20"/>
        </w:rPr>
      </w:pP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Style w:val="Enfasigrassetto"/>
          <w:rFonts w:ascii="Segoe UI" w:hAnsi="Segoe UI" w:cs="Segoe UI"/>
          <w:sz w:val="20"/>
          <w:szCs w:val="20"/>
          <w:bdr w:val="single" w:sz="2" w:space="0" w:color="auto" w:frame="1"/>
        </w:rPr>
        <w:t>Inquadramento Generale dell'Opera</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 xml:space="preserve">Il manuale di </w:t>
      </w:r>
      <w:proofErr w:type="spellStart"/>
      <w:r w:rsidRPr="00FA7199">
        <w:rPr>
          <w:rFonts w:ascii="Segoe UI" w:hAnsi="Segoe UI" w:cs="Segoe UI"/>
          <w:sz w:val="20"/>
          <w:szCs w:val="20"/>
        </w:rPr>
        <w:t>Parravicini</w:t>
      </w:r>
      <w:proofErr w:type="spellEnd"/>
      <w:r w:rsidRPr="00FA7199">
        <w:rPr>
          <w:rFonts w:ascii="Segoe UI" w:hAnsi="Segoe UI" w:cs="Segoe UI"/>
          <w:sz w:val="20"/>
          <w:szCs w:val="20"/>
        </w:rPr>
        <w:t xml:space="preserve"> e Graffi rappresenta un approccio distintivo all'insegnamento dell'economia, caratterizzato da una particolare attenzione alla dimensione storica e metodologica della disciplina. L'architettura dell'opera, che si apre con un'ampia sezione sui "Lineamenti di storia del pensiero economico" curata da Mario </w:t>
      </w:r>
      <w:proofErr w:type="spellStart"/>
      <w:r w:rsidRPr="00FA7199">
        <w:rPr>
          <w:rFonts w:ascii="Segoe UI" w:hAnsi="Segoe UI" w:cs="Segoe UI"/>
          <w:sz w:val="20"/>
          <w:szCs w:val="20"/>
        </w:rPr>
        <w:t>Pomini</w:t>
      </w:r>
      <w:proofErr w:type="spellEnd"/>
      <w:r w:rsidRPr="00FA7199">
        <w:rPr>
          <w:rFonts w:ascii="Segoe UI" w:hAnsi="Segoe UI" w:cs="Segoe UI"/>
          <w:sz w:val="20"/>
          <w:szCs w:val="20"/>
        </w:rPr>
        <w:t>, rivela una filosofia didattica che privilegia la comprensione dell'evoluzione teorica come chiave per comprendere i contenuti contemporanei.</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La struttura dell'opera è organizzata in sedici capitoli che procedono dai fondamenti metodologici alle applicazioni macroeconomiche internazionali, con particolare enfasi sull'integrazione tra teoria e pratica attraverso le sezioni "Economia alla prova" presenti in ogni capitolo. Questa impostazione riflette la convinzione che l'economia debba essere compresa non solo come insieme di modelli teorici ma come disciplina in continua evoluzione, radicata in specifici contesti storici e istituzionali.</w:t>
      </w:r>
    </w:p>
    <w:p w:rsid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L'innovazione principale risiede nell'approccio storico-evolutivo che permea l'intera opera, dalla sezione iniziale di storia del pensiero fino all'analisi contemporanea delle istituzioni europee (SEBC e BCE nel Capitolo 12). Questa prospettiva fornisce agli studenti una comprensione più profonda delle radici teoriche dei modelli economici e della loro evoluzione nel tempo.</w:t>
      </w:r>
    </w:p>
    <w:p w:rsidR="00FA7199" w:rsidRPr="00FA7199" w:rsidRDefault="00FA7199" w:rsidP="00FA7199">
      <w:pPr>
        <w:pStyle w:val="NormaleWeb"/>
        <w:spacing w:before="0" w:beforeAutospacing="0" w:after="0" w:afterAutospacing="0"/>
        <w:jc w:val="both"/>
        <w:rPr>
          <w:rFonts w:ascii="Segoe UI" w:hAnsi="Segoe UI" w:cs="Segoe UI"/>
          <w:sz w:val="20"/>
          <w:szCs w:val="20"/>
        </w:rPr>
      </w:pP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Style w:val="Enfasigrassetto"/>
          <w:rFonts w:ascii="Segoe UI" w:hAnsi="Segoe UI" w:cs="Segoe UI"/>
          <w:sz w:val="20"/>
          <w:szCs w:val="20"/>
          <w:bdr w:val="single" w:sz="2" w:space="0" w:color="auto" w:frame="1"/>
        </w:rPr>
        <w:t>Scuole di Pensiero Economiche di Riferimento</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L'impostazione teorica dell'opera è caratterizzata da un pluralismo storico esplicito e sistematico. La sezione introduttiva di storia del pensiero presenta un'evoluzione completa dalle origini classiche (Smith, Ricardo, Malthus) attraverso la rivoluzione marginalista (</w:t>
      </w:r>
      <w:proofErr w:type="spellStart"/>
      <w:r w:rsidRPr="00FA7199">
        <w:rPr>
          <w:rFonts w:ascii="Segoe UI" w:hAnsi="Segoe UI" w:cs="Segoe UI"/>
          <w:sz w:val="20"/>
          <w:szCs w:val="20"/>
        </w:rPr>
        <w:t>Jevons</w:t>
      </w:r>
      <w:proofErr w:type="spellEnd"/>
      <w:r w:rsidRPr="00FA7199">
        <w:rPr>
          <w:rFonts w:ascii="Segoe UI" w:hAnsi="Segoe UI" w:cs="Segoe UI"/>
          <w:sz w:val="20"/>
          <w:szCs w:val="20"/>
        </w:rPr>
        <w:t xml:space="preserve">, </w:t>
      </w:r>
      <w:proofErr w:type="spellStart"/>
      <w:r w:rsidRPr="00FA7199">
        <w:rPr>
          <w:rFonts w:ascii="Segoe UI" w:hAnsi="Segoe UI" w:cs="Segoe UI"/>
          <w:sz w:val="20"/>
          <w:szCs w:val="20"/>
        </w:rPr>
        <w:t>Walras</w:t>
      </w:r>
      <w:proofErr w:type="spellEnd"/>
      <w:r w:rsidRPr="00FA7199">
        <w:rPr>
          <w:rFonts w:ascii="Segoe UI" w:hAnsi="Segoe UI" w:cs="Segoe UI"/>
          <w:sz w:val="20"/>
          <w:szCs w:val="20"/>
        </w:rPr>
        <w:t>, Marshall) fino agli sviluppi contemporanei, fornendo agli studenti una mappa concettuale dell'evoluzione del pensiero economico.</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 xml:space="preserve">L'approccio microeconomico segue prevalentemente la tradizione neoclassica </w:t>
      </w:r>
      <w:proofErr w:type="spellStart"/>
      <w:r w:rsidRPr="00FA7199">
        <w:rPr>
          <w:rFonts w:ascii="Segoe UI" w:hAnsi="Segoe UI" w:cs="Segoe UI"/>
          <w:sz w:val="20"/>
          <w:szCs w:val="20"/>
        </w:rPr>
        <w:t>marshalliana</w:t>
      </w:r>
      <w:proofErr w:type="spellEnd"/>
      <w:r w:rsidRPr="00FA7199">
        <w:rPr>
          <w:rFonts w:ascii="Segoe UI" w:hAnsi="Segoe UI" w:cs="Segoe UI"/>
          <w:sz w:val="20"/>
          <w:szCs w:val="20"/>
        </w:rPr>
        <w:t xml:space="preserve">, con particolare attenzione all'equilibrio parziale e all'analisi del benessere. Tuttavia, l'inclusione sistematica di elementi storici (come il riferimento a </w:t>
      </w:r>
      <w:proofErr w:type="spellStart"/>
      <w:r w:rsidRPr="00FA7199">
        <w:rPr>
          <w:rFonts w:ascii="Segoe UI" w:hAnsi="Segoe UI" w:cs="Segoe UI"/>
          <w:sz w:val="20"/>
          <w:szCs w:val="20"/>
        </w:rPr>
        <w:t>Chamberlin</w:t>
      </w:r>
      <w:proofErr w:type="spellEnd"/>
      <w:r w:rsidRPr="00FA7199">
        <w:rPr>
          <w:rFonts w:ascii="Segoe UI" w:hAnsi="Segoe UI" w:cs="Segoe UI"/>
          <w:sz w:val="20"/>
          <w:szCs w:val="20"/>
        </w:rPr>
        <w:t xml:space="preserve"> e Robinson per i mercati di concorrenza imperfetta) indica un approccio che contestualizza storicamente i modelli teorici.</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 xml:space="preserve">Sul fronte macroeconomico, l'approccio è distintamente keynesiano, con il Capitolo 10 dedicato esplicitamente alla "rivoluzione keynesiana". Il modello IS-LM (Capitolo 11) costituisce il </w:t>
      </w:r>
      <w:proofErr w:type="spellStart"/>
      <w:r w:rsidRPr="00FA7199">
        <w:rPr>
          <w:rFonts w:ascii="Segoe UI" w:hAnsi="Segoe UI" w:cs="Segoe UI"/>
          <w:sz w:val="20"/>
          <w:szCs w:val="20"/>
        </w:rPr>
        <w:t>framework</w:t>
      </w:r>
      <w:proofErr w:type="spellEnd"/>
      <w:r w:rsidRPr="00FA7199">
        <w:rPr>
          <w:rFonts w:ascii="Segoe UI" w:hAnsi="Segoe UI" w:cs="Segoe UI"/>
          <w:sz w:val="20"/>
          <w:szCs w:val="20"/>
        </w:rPr>
        <w:t xml:space="preserve"> centrale per l'analisi macroeconomica, integrato con il modello DA-OA (Capitolo 13) per l'analisi delle variazioni di prezzo.</w:t>
      </w:r>
    </w:p>
    <w:p w:rsid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 xml:space="preserve">La presenza di un capitolo specifico sulla curva di Phillips (Capitolo 14) e l'attenzione alle politiche della BCE (Capitolo 12) riflettono l'influenza della sintesi neoclassica e dell'approccio delle banche centrali contemporanee. L'integrazione con l'economia internazionale (Capitoli 15-16) segue l'approccio standard del modello </w:t>
      </w:r>
      <w:proofErr w:type="spellStart"/>
      <w:r w:rsidRPr="00FA7199">
        <w:rPr>
          <w:rFonts w:ascii="Segoe UI" w:hAnsi="Segoe UI" w:cs="Segoe UI"/>
          <w:sz w:val="20"/>
          <w:szCs w:val="20"/>
        </w:rPr>
        <w:t>Mundell</w:t>
      </w:r>
      <w:proofErr w:type="spellEnd"/>
      <w:r w:rsidRPr="00FA7199">
        <w:rPr>
          <w:rFonts w:ascii="Segoe UI" w:hAnsi="Segoe UI" w:cs="Segoe UI"/>
          <w:sz w:val="20"/>
          <w:szCs w:val="20"/>
        </w:rPr>
        <w:t>-Fleming e della teoria del commercio internazionale.</w:t>
      </w:r>
    </w:p>
    <w:p w:rsidR="00FA7199" w:rsidRPr="00FA7199" w:rsidRDefault="00FA7199" w:rsidP="00FA7199">
      <w:pPr>
        <w:pStyle w:val="NormaleWeb"/>
        <w:spacing w:before="0" w:beforeAutospacing="0" w:after="0" w:afterAutospacing="0"/>
        <w:jc w:val="both"/>
        <w:rPr>
          <w:rFonts w:ascii="Segoe UI" w:hAnsi="Segoe UI" w:cs="Segoe UI"/>
          <w:sz w:val="20"/>
          <w:szCs w:val="20"/>
        </w:rPr>
      </w:pP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Style w:val="Enfasigrassetto"/>
          <w:rFonts w:ascii="Segoe UI" w:hAnsi="Segoe UI" w:cs="Segoe UI"/>
          <w:sz w:val="20"/>
          <w:szCs w:val="20"/>
          <w:bdr w:val="single" w:sz="2" w:space="0" w:color="auto" w:frame="1"/>
        </w:rPr>
        <w:t>Modelli Economici Micro e Macroeconomici</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La struttura microeconomica presenta una progressione completa e metodologicamente rigorosa. Il Capitolo 5 sulle scelte di consumo sviluppa sistematicamente la teoria del consumatore attraverso vincoli di bilancio e curve di indifferenza, con particolare attenzione agli aspetti metodologici ("Il problema della scelta razionale del consumatore: obiettivo e metodo").</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6 sulla teoria dell'impresa presenta un'analisi particolarmente approfondita che distingue chiaramente tra efficienza tecnica ed economica, sviluppando sistematicamente le relazioni di dualità tra struttura di produzione e di costo sia nel breve che nel lungo periodo. Questa impostazione fornisce una base solida per comprendere le decisioni ottimali dell'impresa.</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7 presenta una trattazione completa delle strutture di mercato, dalla concorrenza perfetta al monopolio, all'oligopolio e alla concorrenza monopolistica. L'approccio è particolarmente sistematico nell'analisi dell'equilibrio di breve e lungo periodo, con enfasi sull'efficienza produttiva e allocativa.</w:t>
      </w:r>
    </w:p>
    <w:p w:rsid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La sezione macroeconomica presenta una sequenza logica che parte dal circuito del reddito (Capitolo 9) per sviluppare il modello keynesiano di base (Capitolo 10), poi il modello IS-LM (Capitolo 11) e infine il modello DA-OA (Capitolo 13). Questa progressione permette agli studenti di comprendere gradualmente la complessità dell'analisi macroeconomica.</w:t>
      </w:r>
    </w:p>
    <w:p w:rsidR="00FA7199" w:rsidRPr="00FA7199" w:rsidRDefault="00FA7199" w:rsidP="00FA7199">
      <w:pPr>
        <w:pStyle w:val="NormaleWeb"/>
        <w:spacing w:before="0" w:beforeAutospacing="0" w:after="0" w:afterAutospacing="0"/>
        <w:jc w:val="both"/>
        <w:rPr>
          <w:rFonts w:ascii="Segoe UI" w:hAnsi="Segoe UI" w:cs="Segoe UI"/>
          <w:sz w:val="20"/>
          <w:szCs w:val="20"/>
        </w:rPr>
      </w:pP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Style w:val="Enfasigrassetto"/>
          <w:rFonts w:ascii="Segoe UI" w:hAnsi="Segoe UI" w:cs="Segoe UI"/>
          <w:sz w:val="20"/>
          <w:szCs w:val="20"/>
          <w:bdr w:val="single" w:sz="2" w:space="0" w:color="auto" w:frame="1"/>
        </w:rPr>
        <w:t>Modelli di Crescita Economica</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lastRenderedPageBreak/>
        <w:t>La trattazione della crescita economica non appare come argomento autonomo nell'indice, suggerendo un approccio che integra elementi di crescita all'interno dell'analisi macroeconomica generale. Il Capitolo 9 sul circuito del reddito include probabilmente elementi di crescita attraverso l'analisi delle "variazioni congiunturali e tendenziali del PIL reale".</w:t>
      </w:r>
    </w:p>
    <w:p w:rsid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L'approccio sembra privilegiare l'analisi delle fluttuazioni di breve periodo rispetto alla crescita di lungo periodo, coerentemente con l'impostazione keynesiana dell'opera. Tuttavia, la sezione di storia del pensiero include probabilmente riferimenti ai modelli di crescita classici (attraverso l'analisi di Smith, Ricardo e Malthus) fornendo una prospettiva storica sui meccanismi di crescita.</w:t>
      </w:r>
    </w:p>
    <w:p w:rsidR="00FA7199" w:rsidRPr="00FA7199" w:rsidRDefault="00FA7199" w:rsidP="00FA7199">
      <w:pPr>
        <w:pStyle w:val="NormaleWeb"/>
        <w:spacing w:before="0" w:beforeAutospacing="0" w:after="0" w:afterAutospacing="0"/>
        <w:jc w:val="both"/>
        <w:rPr>
          <w:rFonts w:ascii="Segoe UI" w:hAnsi="Segoe UI" w:cs="Segoe UI"/>
          <w:sz w:val="20"/>
          <w:szCs w:val="20"/>
        </w:rPr>
      </w:pP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Style w:val="Enfasigrassetto"/>
          <w:rFonts w:ascii="Segoe UI" w:hAnsi="Segoe UI" w:cs="Segoe UI"/>
          <w:sz w:val="20"/>
          <w:szCs w:val="20"/>
          <w:bdr w:val="single" w:sz="2" w:space="0" w:color="auto" w:frame="1"/>
        </w:rPr>
        <w:t>Trattazione Temporale: Breve e Lungo Periodo</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L'approccio temporale è sistematicamente sviluppato sia a livello microeconomico che macroeconomico. Nel Capitolo 6 sulla teoria dell'impresa, la distinzione tra breve e lungo periodo è sviluppata attraverso l'analisi dei rendimenti di scala e delle economie di scala, con particolare attenzione alla "dualità tra struttura di produzione e di costo".</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7 applica questa distinzione nell'analisi delle strutture di mercato, mostrando come l'equilibrio di breve periodo (con possibili profitti o perdite) evolva verso l'equilibrio di lungo periodo attraverso meccanismi di entrata e uscita. L'analisi dell'efficienza produttiva e allocativa è sviluppata sistematicamente per entrambi i periodi.</w:t>
      </w:r>
    </w:p>
    <w:p w:rsid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A livello macroeconomico, la distinzione temporale è particolarmente evidente nel modello DA-OA (Capitolo 13), dove si analizza l'offerta aggregata di breve e lungo periodo attraverso il mercato del lavoro. Il Capitolo 14 sulla curva di Phillips sviluppa esplicitamente la distinzione tra effetti di breve e lungo periodo delle politiche monetarie.</w:t>
      </w:r>
    </w:p>
    <w:p w:rsidR="00FA7199" w:rsidRPr="00FA7199" w:rsidRDefault="00FA7199" w:rsidP="00FA7199">
      <w:pPr>
        <w:pStyle w:val="NormaleWeb"/>
        <w:spacing w:before="0" w:beforeAutospacing="0" w:after="0" w:afterAutospacing="0"/>
        <w:jc w:val="both"/>
        <w:rPr>
          <w:rFonts w:ascii="Segoe UI" w:hAnsi="Segoe UI" w:cs="Segoe UI"/>
          <w:sz w:val="20"/>
          <w:szCs w:val="20"/>
        </w:rPr>
      </w:pPr>
      <w:bookmarkStart w:id="0" w:name="_GoBack"/>
      <w:bookmarkEnd w:id="0"/>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Style w:val="Enfasigrassetto"/>
          <w:rFonts w:ascii="Segoe UI" w:hAnsi="Segoe UI" w:cs="Segoe UI"/>
          <w:sz w:val="20"/>
          <w:szCs w:val="20"/>
          <w:bdr w:val="single" w:sz="2" w:space="0" w:color="auto" w:frame="1"/>
        </w:rPr>
        <w:t>Argomenti Non Standard e Innovazioni Didattiche</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manuale presenta diverse innovazioni che lo distinguono dai testi tradizionali. La sezione iniziale di storia del pensiero economico rappresenta un'innovazione significativa, raramente presente in manuali introduttivi con tale ampiezza e sistematicità. Questa sezione fornisce agli studenti una comprensione delle radici teoriche dei modelli contemporanei.</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Le sezioni "Economia alla prova" presenti in ogni capitolo rappresentano un'innovazione didattica importante, collegando teoria ed evidenza empirica attraverso esempi e applicazioni pratiche. Questa struttura facilita la comprensione degli studenti fornendo verifiche concrete dei modelli teorici.</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8 sui fallimenti del mercato presenta una trattazione completa che include esternalità, asimmetrie informative (con particolare attenzione a selezione avversa e azzardo morale) e beni pubblici. L'inclusione del "mercato dei bidoni" come esempio di selezione avversa riflette l'attenzione agli sviluppi della teoria dell'informazione.</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12 sul Sistema Europeo di Banche Centrali e la BCE rappresenta un'innovazione particolarmente rilevante per il contesto europeo, fornendo agli studenti una comprensione specifica del sistema monetario europeo. L'analisi degli "strumenti convenzionali della BCE" e della "recente crisi economica mondiale" collega teoria e realtà istituzionale contemporanea.</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15 sull'economia aperta presenta un'analisi approfondita che include mercato valutario, bilancia dei pagamenti e diversi regimi di cambio. L'attenzione ai "meccanismi di aggiustamento" fornisce una comprensione pratica del funzionamento dell'economia internazionale.</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Il Capitolo 16 sul commercio internazionale presenta un'analisi moderna che distingue tra "commercio verticale" (basato sui vantaggi comparati) e "commercio orizzontale" (basato su economie di scala e differenziazione del prodotto). Questa distinzione riflette gli sviluppi più recenti della teoria del commercio internazionale.</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L'inclusione di argomenti come "Dal GATT al WTO" e l'analisi degli "effetti sul benessere sociale di un dazio" fornisce una prospettiva contemporanea sulle politiche commerciali e le istituzioni internazionali.</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t>L'approccio metodologico complessivo, con la sua enfasi sulla dimensione storica e istituzionale, rappresenta un tentativo di fornire agli studenti non solo strumenti analitici ma anche una comprensione critica dell'evoluzione della disciplina economica e delle sue applicazioni pratiche nel contesto europeo contemporaneo.</w:t>
      </w:r>
    </w:p>
    <w:p w:rsidR="00FA7199" w:rsidRPr="00FA7199" w:rsidRDefault="00FA7199" w:rsidP="00FA7199">
      <w:pPr>
        <w:pStyle w:val="NormaleWeb"/>
        <w:spacing w:before="0" w:beforeAutospacing="0" w:after="0" w:afterAutospacing="0"/>
        <w:jc w:val="both"/>
        <w:rPr>
          <w:rFonts w:ascii="Segoe UI" w:hAnsi="Segoe UI" w:cs="Segoe UI"/>
          <w:sz w:val="20"/>
          <w:szCs w:val="20"/>
        </w:rPr>
      </w:pPr>
      <w:r w:rsidRPr="00FA7199">
        <w:rPr>
          <w:rFonts w:ascii="Segoe UI" w:hAnsi="Segoe UI" w:cs="Segoe UI"/>
          <w:sz w:val="20"/>
          <w:szCs w:val="20"/>
        </w:rPr>
        <w:lastRenderedPageBreak/>
        <w:t>La struttura pedagogica, con la progressione dai fondamenti storici attraverso la microeconomia verso la macroeconomia e l'economia internazionale, riflette un approccio sistematico che privilegia la comprensione profonda rispetto alla mera acquisizione di tecniche, preparando gli studenti a utilizzare gli strumenti economici in modo consapevole e critico.</w:t>
      </w:r>
    </w:p>
    <w:p w:rsidR="00D24BFA" w:rsidRPr="00FA7199" w:rsidRDefault="00D24BFA" w:rsidP="00FA7199">
      <w:pPr>
        <w:spacing w:after="0" w:line="240" w:lineRule="auto"/>
        <w:jc w:val="both"/>
        <w:rPr>
          <w:rFonts w:ascii="Segoe UI" w:hAnsi="Segoe UI" w:cs="Segoe UI"/>
          <w:sz w:val="20"/>
          <w:szCs w:val="20"/>
        </w:rPr>
      </w:pPr>
    </w:p>
    <w:sectPr w:rsidR="00D24BFA" w:rsidRPr="00FA71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199"/>
    <w:rsid w:val="00D24BFA"/>
    <w:rsid w:val="00FA71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C55AB7-29DC-42B9-9425-71D44047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FA7199"/>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FA71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525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1384</Words>
  <Characters>7890</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2025-09-27T07:28:00Z</dcterms:created>
  <dcterms:modified xsi:type="dcterms:W3CDTF">2025-09-27T07:29:00Z</dcterms:modified>
</cp:coreProperties>
</file>