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0E9" w:rsidRPr="006240E9" w:rsidRDefault="006240E9" w:rsidP="006240E9">
      <w:pPr>
        <w:pStyle w:val="NormaleWeb"/>
        <w:spacing w:before="0" w:beforeAutospacing="0" w:after="0" w:afterAutospacing="0"/>
        <w:jc w:val="center"/>
        <w:rPr>
          <w:rStyle w:val="Enfasigrassetto"/>
          <w:rFonts w:ascii="Segoe UI" w:hAnsi="Segoe UI" w:cs="Segoe UI"/>
          <w:bdr w:val="single" w:sz="2" w:space="0" w:color="auto" w:frame="1"/>
        </w:rPr>
      </w:pPr>
      <w:r w:rsidRPr="006240E9">
        <w:rPr>
          <w:rStyle w:val="Enfasigrassetto"/>
          <w:rFonts w:ascii="Segoe UI" w:hAnsi="Segoe UI" w:cs="Segoe UI"/>
          <w:bdr w:val="single" w:sz="2" w:space="0" w:color="auto" w:frame="1"/>
        </w:rPr>
        <w:t>REPORT ANALITICO: "ECONOMIA" - S</w:t>
      </w:r>
      <w:r w:rsidRPr="006240E9">
        <w:rPr>
          <w:rStyle w:val="Enfasigrassetto"/>
          <w:rFonts w:ascii="Segoe UI" w:hAnsi="Segoe UI" w:cs="Segoe UI"/>
          <w:bdr w:val="single" w:sz="2" w:space="0" w:color="auto" w:frame="1"/>
        </w:rPr>
        <w:t>AMUELSON, NORDHAUS</w:t>
      </w:r>
    </w:p>
    <w:p w:rsidR="006240E9" w:rsidRPr="006240E9" w:rsidRDefault="006240E9" w:rsidP="006240E9">
      <w:pPr>
        <w:pStyle w:val="NormaleWeb"/>
        <w:spacing w:before="0" w:beforeAutospacing="0" w:after="0" w:afterAutospacing="0"/>
        <w:jc w:val="both"/>
        <w:rPr>
          <w:rFonts w:ascii="Segoe UI" w:hAnsi="Segoe UI" w:cs="Segoe UI"/>
          <w:sz w:val="20"/>
          <w:szCs w:val="20"/>
        </w:rPr>
      </w:pP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Style w:val="Enfasigrassetto"/>
          <w:rFonts w:ascii="Segoe UI" w:hAnsi="Segoe UI" w:cs="Segoe UI"/>
          <w:sz w:val="20"/>
          <w:szCs w:val="20"/>
          <w:bdr w:val="single" w:sz="2" w:space="0" w:color="auto" w:frame="1"/>
        </w:rPr>
        <w:t>Inquadramento Generale dell'Opera</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 xml:space="preserve">Il manuale di </w:t>
      </w:r>
      <w:proofErr w:type="spellStart"/>
      <w:r w:rsidRPr="006240E9">
        <w:rPr>
          <w:rFonts w:ascii="Segoe UI" w:hAnsi="Segoe UI" w:cs="Segoe UI"/>
          <w:sz w:val="20"/>
          <w:szCs w:val="20"/>
        </w:rPr>
        <w:t>Samuelson</w:t>
      </w:r>
      <w:proofErr w:type="spellEnd"/>
      <w:r w:rsidRPr="006240E9">
        <w:rPr>
          <w:rFonts w:ascii="Segoe UI" w:hAnsi="Segoe UI" w:cs="Segoe UI"/>
          <w:sz w:val="20"/>
          <w:szCs w:val="20"/>
        </w:rPr>
        <w:t xml:space="preserve"> e </w:t>
      </w:r>
      <w:proofErr w:type="spellStart"/>
      <w:r w:rsidRPr="006240E9">
        <w:rPr>
          <w:rFonts w:ascii="Segoe UI" w:hAnsi="Segoe UI" w:cs="Segoe UI"/>
          <w:sz w:val="20"/>
          <w:szCs w:val="20"/>
        </w:rPr>
        <w:t>Nordhaus</w:t>
      </w:r>
      <w:proofErr w:type="spellEnd"/>
      <w:r w:rsidRPr="006240E9">
        <w:rPr>
          <w:rFonts w:ascii="Segoe UI" w:hAnsi="Segoe UI" w:cs="Segoe UI"/>
          <w:sz w:val="20"/>
          <w:szCs w:val="20"/>
        </w:rPr>
        <w:t xml:space="preserve"> rappresenta l'eredità del testo più influente nella storia dell'insegnamento dell'economia, caratterizzato da un approccio enciclopedico e sistematico che integra tradizione teorica consolidata con continui aggiornamenti alle problematiche economiche contemporanee. L'architettura dell'opera, organizzata in sei parti principali e trentaquattro capitoli, rivela una strategia didattica ambiziosa che abbraccia l'intera gamma della conoscenza economica moderna.</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 xml:space="preserve">La struttura del testo mantiene l'impostazione classica </w:t>
      </w:r>
      <w:proofErr w:type="spellStart"/>
      <w:r w:rsidRPr="006240E9">
        <w:rPr>
          <w:rFonts w:ascii="Segoe UI" w:hAnsi="Segoe UI" w:cs="Segoe UI"/>
          <w:sz w:val="20"/>
          <w:szCs w:val="20"/>
        </w:rPr>
        <w:t>samuelsoniana</w:t>
      </w:r>
      <w:proofErr w:type="spellEnd"/>
      <w:r w:rsidRPr="006240E9">
        <w:rPr>
          <w:rFonts w:ascii="Segoe UI" w:hAnsi="Segoe UI" w:cs="Segoe UI"/>
          <w:sz w:val="20"/>
          <w:szCs w:val="20"/>
        </w:rPr>
        <w:t>, procedendo dai "Concetti di base" attraverso la microeconomia e la macroeconomia fino alle applicazioni internazionali e alle politiche economiche. L'innovazione principale risiede nell'integrazione sistematica di eventi economici contemporanei, dalla Grande Crisi del 2008 alla pandemia COVID-19 e alla guerra russo-ucraina (Capitolo 33), mantenendo il testo aggiornato con le sfide economiche più recenti.</w:t>
      </w:r>
    </w:p>
    <w:p w:rsid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 xml:space="preserve">L'opera si distingue per la sua capacità di combinare rigore teorico e accessibilità pedagogica, utilizzando il sistema delle "Guide per lo studio" e delle appendici per fornire diversi livelli di approfondimento. La presenza di un capitolo finale sulle "Scuole e dibattiti di macroeconomia" (disponibile online) indica un approccio che riconosce la pluralità teorica della disciplina pur mantenendo un </w:t>
      </w:r>
      <w:proofErr w:type="spellStart"/>
      <w:r w:rsidRPr="006240E9">
        <w:rPr>
          <w:rFonts w:ascii="Segoe UI" w:hAnsi="Segoe UI" w:cs="Segoe UI"/>
          <w:sz w:val="20"/>
          <w:szCs w:val="20"/>
        </w:rPr>
        <w:t>framework</w:t>
      </w:r>
      <w:proofErr w:type="spellEnd"/>
      <w:r w:rsidRPr="006240E9">
        <w:rPr>
          <w:rFonts w:ascii="Segoe UI" w:hAnsi="Segoe UI" w:cs="Segoe UI"/>
          <w:sz w:val="20"/>
          <w:szCs w:val="20"/>
        </w:rPr>
        <w:t xml:space="preserve"> prevalentemente </w:t>
      </w:r>
      <w:proofErr w:type="spellStart"/>
      <w:r w:rsidRPr="006240E9">
        <w:rPr>
          <w:rFonts w:ascii="Segoe UI" w:hAnsi="Segoe UI" w:cs="Segoe UI"/>
          <w:sz w:val="20"/>
          <w:szCs w:val="20"/>
        </w:rPr>
        <w:t>mainstream</w:t>
      </w:r>
      <w:proofErr w:type="spellEnd"/>
      <w:r w:rsidRPr="006240E9">
        <w:rPr>
          <w:rFonts w:ascii="Segoe UI" w:hAnsi="Segoe UI" w:cs="Segoe UI"/>
          <w:sz w:val="20"/>
          <w:szCs w:val="20"/>
        </w:rPr>
        <w:t>.</w:t>
      </w:r>
    </w:p>
    <w:p w:rsidR="006240E9" w:rsidRPr="006240E9" w:rsidRDefault="006240E9" w:rsidP="006240E9">
      <w:pPr>
        <w:pStyle w:val="NormaleWeb"/>
        <w:spacing w:before="0" w:beforeAutospacing="0" w:after="0" w:afterAutospacing="0"/>
        <w:jc w:val="both"/>
        <w:rPr>
          <w:rFonts w:ascii="Segoe UI" w:hAnsi="Segoe UI" w:cs="Segoe UI"/>
          <w:sz w:val="20"/>
          <w:szCs w:val="20"/>
        </w:rPr>
      </w:pP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Style w:val="Enfasigrassetto"/>
          <w:rFonts w:ascii="Segoe UI" w:hAnsi="Segoe UI" w:cs="Segoe UI"/>
          <w:sz w:val="20"/>
          <w:szCs w:val="20"/>
          <w:bdr w:val="single" w:sz="2" w:space="0" w:color="auto" w:frame="1"/>
        </w:rPr>
        <w:t>Scuole di Pensiero Economiche di Riferimento</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 xml:space="preserve">L'impostazione teorica di </w:t>
      </w:r>
      <w:proofErr w:type="spellStart"/>
      <w:r w:rsidRPr="006240E9">
        <w:rPr>
          <w:rFonts w:ascii="Segoe UI" w:hAnsi="Segoe UI" w:cs="Segoe UI"/>
          <w:sz w:val="20"/>
          <w:szCs w:val="20"/>
        </w:rPr>
        <w:t>Samuelson-Nordhaus</w:t>
      </w:r>
      <w:proofErr w:type="spellEnd"/>
      <w:r w:rsidRPr="006240E9">
        <w:rPr>
          <w:rFonts w:ascii="Segoe UI" w:hAnsi="Segoe UI" w:cs="Segoe UI"/>
          <w:sz w:val="20"/>
          <w:szCs w:val="20"/>
        </w:rPr>
        <w:t xml:space="preserve"> è caratterizzata dalla celebre "sintesi neoclassica" che ha dominato l'insegnamento economico per decenni. L'approccio integra elementi della tradizione classica (efficienza dei mercati, equilibrio generale </w:t>
      </w:r>
      <w:proofErr w:type="spellStart"/>
      <w:r w:rsidRPr="006240E9">
        <w:rPr>
          <w:rFonts w:ascii="Segoe UI" w:hAnsi="Segoe UI" w:cs="Segoe UI"/>
          <w:sz w:val="20"/>
          <w:szCs w:val="20"/>
        </w:rPr>
        <w:t>walrasiano</w:t>
      </w:r>
      <w:proofErr w:type="spellEnd"/>
      <w:r w:rsidRPr="006240E9">
        <w:rPr>
          <w:rFonts w:ascii="Segoe UI" w:hAnsi="Segoe UI" w:cs="Segoe UI"/>
          <w:sz w:val="20"/>
          <w:szCs w:val="20"/>
        </w:rPr>
        <w:t>) con contributi keynesiani (politiche di stabilizzazione, ruolo dello Stato nell'economia).</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 xml:space="preserve">La sezione microeconomica segue fedelmente l'approccio </w:t>
      </w:r>
      <w:proofErr w:type="spellStart"/>
      <w:r w:rsidRPr="006240E9">
        <w:rPr>
          <w:rFonts w:ascii="Segoe UI" w:hAnsi="Segoe UI" w:cs="Segoe UI"/>
          <w:sz w:val="20"/>
          <w:szCs w:val="20"/>
        </w:rPr>
        <w:t>marshalliano</w:t>
      </w:r>
      <w:proofErr w:type="spellEnd"/>
      <w:r w:rsidRPr="006240E9">
        <w:rPr>
          <w:rFonts w:ascii="Segoe UI" w:hAnsi="Segoe UI" w:cs="Segoe UI"/>
          <w:sz w:val="20"/>
          <w:szCs w:val="20"/>
        </w:rPr>
        <w:t xml:space="preserve"> dell'equilibrio parziale, con particolare enfasi sull'analisi del benessere e sull'efficienza allocativa. Il Capitolo 11 sull'"Efficienza economica e mercati" presenta sistematicamente i teoremi fondamentali dell'economia del benessere, riflettendo l'influenza della tradizione paretiana e della moderna teoria dell'equilibrio generale.</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 xml:space="preserve">Sul fronte macroeconomico, l'approccio è distintamente keynesiano per l'analisi di breve periodo, con il modello IS-LM (Capitolo 26) che costituisce il </w:t>
      </w:r>
      <w:proofErr w:type="spellStart"/>
      <w:r w:rsidRPr="006240E9">
        <w:rPr>
          <w:rFonts w:ascii="Segoe UI" w:hAnsi="Segoe UI" w:cs="Segoe UI"/>
          <w:sz w:val="20"/>
          <w:szCs w:val="20"/>
        </w:rPr>
        <w:t>framework</w:t>
      </w:r>
      <w:proofErr w:type="spellEnd"/>
      <w:r w:rsidRPr="006240E9">
        <w:rPr>
          <w:rFonts w:ascii="Segoe UI" w:hAnsi="Segoe UI" w:cs="Segoe UI"/>
          <w:sz w:val="20"/>
          <w:szCs w:val="20"/>
        </w:rPr>
        <w:t xml:space="preserve"> centrale. Tuttavia, l'integrazione con l'analisi di lungo periodo e la teoria della crescita riflette l'influenza della sintesi neoclassica e dei contributi di </w:t>
      </w:r>
      <w:proofErr w:type="spellStart"/>
      <w:r w:rsidRPr="006240E9">
        <w:rPr>
          <w:rFonts w:ascii="Segoe UI" w:hAnsi="Segoe UI" w:cs="Segoe UI"/>
          <w:sz w:val="20"/>
          <w:szCs w:val="20"/>
        </w:rPr>
        <w:t>Solow</w:t>
      </w:r>
      <w:proofErr w:type="spellEnd"/>
      <w:r w:rsidRPr="006240E9">
        <w:rPr>
          <w:rFonts w:ascii="Segoe UI" w:hAnsi="Segoe UI" w:cs="Segoe UI"/>
          <w:sz w:val="20"/>
          <w:szCs w:val="20"/>
        </w:rPr>
        <w:t xml:space="preserve"> alla teoria della crescita.</w:t>
      </w:r>
    </w:p>
    <w:p w:rsid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 xml:space="preserve">La presenza di un capitolo specifico sulla teoria dei giochi (Capitolo 9) indica l'integrazione con sviluppi più recenti dell'economia industriale, mentre l'attenzione alle asimmetrie informative (Capitolo 13) riflette l'influenza della teoria dell'informazione sviluppata da </w:t>
      </w:r>
      <w:proofErr w:type="spellStart"/>
      <w:r w:rsidRPr="006240E9">
        <w:rPr>
          <w:rFonts w:ascii="Segoe UI" w:hAnsi="Segoe UI" w:cs="Segoe UI"/>
          <w:sz w:val="20"/>
          <w:szCs w:val="20"/>
        </w:rPr>
        <w:t>Akerlof</w:t>
      </w:r>
      <w:proofErr w:type="spellEnd"/>
      <w:r w:rsidRPr="006240E9">
        <w:rPr>
          <w:rFonts w:ascii="Segoe UI" w:hAnsi="Segoe UI" w:cs="Segoe UI"/>
          <w:sz w:val="20"/>
          <w:szCs w:val="20"/>
        </w:rPr>
        <w:t xml:space="preserve">, Rothschild e </w:t>
      </w:r>
      <w:proofErr w:type="spellStart"/>
      <w:r w:rsidRPr="006240E9">
        <w:rPr>
          <w:rFonts w:ascii="Segoe UI" w:hAnsi="Segoe UI" w:cs="Segoe UI"/>
          <w:sz w:val="20"/>
          <w:szCs w:val="20"/>
        </w:rPr>
        <w:t>Stiglitz</w:t>
      </w:r>
      <w:proofErr w:type="spellEnd"/>
      <w:r w:rsidRPr="006240E9">
        <w:rPr>
          <w:rFonts w:ascii="Segoe UI" w:hAnsi="Segoe UI" w:cs="Segoe UI"/>
          <w:sz w:val="20"/>
          <w:szCs w:val="20"/>
        </w:rPr>
        <w:t>.</w:t>
      </w:r>
    </w:p>
    <w:p w:rsidR="006240E9" w:rsidRPr="006240E9" w:rsidRDefault="006240E9" w:rsidP="006240E9">
      <w:pPr>
        <w:pStyle w:val="NormaleWeb"/>
        <w:spacing w:before="0" w:beforeAutospacing="0" w:after="0" w:afterAutospacing="0"/>
        <w:jc w:val="both"/>
        <w:rPr>
          <w:rFonts w:ascii="Segoe UI" w:hAnsi="Segoe UI" w:cs="Segoe UI"/>
          <w:sz w:val="20"/>
          <w:szCs w:val="20"/>
        </w:rPr>
      </w:pP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Style w:val="Enfasigrassetto"/>
          <w:rFonts w:ascii="Segoe UI" w:hAnsi="Segoe UI" w:cs="Segoe UI"/>
          <w:sz w:val="20"/>
          <w:szCs w:val="20"/>
          <w:bdr w:val="single" w:sz="2" w:space="0" w:color="auto" w:frame="1"/>
        </w:rPr>
        <w:t>Modelli Economici Micro e Macroeconomici</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La struttura microeconomica presenta una progressione completa e sistematica che va dai fondamenti della scelta del consumatore (Capitolo 4) attraverso la teoria della produzione (Capitoli 5-6) fino all'analisi delle strutture di mercato (Capitoli 7-10). Il Capitolo 4 sviluppa sia l'approccio dell'utilità marginale che quello delle curve di indifferenza, fornendo una base rigorosa per la teoria della domanda.</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L'analisi dei costi (Capitolo 6) presenta una trattazione particolarmente approfondita che distingue tra costi contabili ed economici, includendo concetti avanzati come il costo-opportunità e la dualità tra produzione e costi. L'appendice tecnica fornisce strumenti matematici per l'ottimizzazione vincolata.</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La sezione sulle strutture di mercato è particolarmente completa, procedendo dalla concorrenza perfetta (Capitolo 7) al monopolio (Capitolo 8), all'oligopolio con teoria dei giochi (Capitolo 9) e alla concorrenza monopolistica (Capitolo 10). L'integrazione della teoria dei giochi nell'analisi oligopolistica rappresenta un aggiornamento significativo rispetto alle versioni precedenti.</w:t>
      </w:r>
    </w:p>
    <w:p w:rsid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La sezione macroeconomica presenta una sequenza logica che parte dalla contabilità nazionale (Capitolo 18) per sviluppare il modello DA-OA (Capitolo 19), poi l'analisi di disoccupazione e inflazione (Capitoli 20-21), il modello del moltiplicatore (Capitoli 22-23), il sistema finanziario (Capitoli 24-25) e infine il modello IS-LM completo (Capitolo 26).</w:t>
      </w:r>
    </w:p>
    <w:p w:rsidR="006240E9" w:rsidRPr="006240E9" w:rsidRDefault="006240E9" w:rsidP="006240E9">
      <w:pPr>
        <w:pStyle w:val="NormaleWeb"/>
        <w:spacing w:before="0" w:beforeAutospacing="0" w:after="0" w:afterAutospacing="0"/>
        <w:jc w:val="both"/>
        <w:rPr>
          <w:rFonts w:ascii="Segoe UI" w:hAnsi="Segoe UI" w:cs="Segoe UI"/>
          <w:sz w:val="20"/>
          <w:szCs w:val="20"/>
        </w:rPr>
      </w:pP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Style w:val="Enfasigrassetto"/>
          <w:rFonts w:ascii="Segoe UI" w:hAnsi="Segoe UI" w:cs="Segoe UI"/>
          <w:sz w:val="20"/>
          <w:szCs w:val="20"/>
          <w:bdr w:val="single" w:sz="2" w:space="0" w:color="auto" w:frame="1"/>
        </w:rPr>
        <w:t>Modelli di Crescita Economica</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lastRenderedPageBreak/>
        <w:t xml:space="preserve">La trattazione della crescita economica è concentrata nel Capitolo 27, che presenta un approccio moderno e completo. Il modello integra i "quattro fattori della crescita" (lavoro, capitale, risorse naturali, tecnologia) seguendo la tradizione del modello di </w:t>
      </w:r>
      <w:proofErr w:type="spellStart"/>
      <w:r w:rsidRPr="006240E9">
        <w:rPr>
          <w:rFonts w:ascii="Segoe UI" w:hAnsi="Segoe UI" w:cs="Segoe UI"/>
          <w:sz w:val="20"/>
          <w:szCs w:val="20"/>
        </w:rPr>
        <w:t>Solow</w:t>
      </w:r>
      <w:proofErr w:type="spellEnd"/>
      <w:r w:rsidRPr="006240E9">
        <w:rPr>
          <w:rFonts w:ascii="Segoe UI" w:hAnsi="Segoe UI" w:cs="Segoe UI"/>
          <w:sz w:val="20"/>
          <w:szCs w:val="20"/>
        </w:rPr>
        <w:t>, ma include anche sviluppi più recenti della teoria della crescita endogena.</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 xml:space="preserve">L'analisi include sistematicamente il "metodo della contabilità della crescita" sviluppato da </w:t>
      </w:r>
      <w:proofErr w:type="spellStart"/>
      <w:r w:rsidRPr="006240E9">
        <w:rPr>
          <w:rFonts w:ascii="Segoe UI" w:hAnsi="Segoe UI" w:cs="Segoe UI"/>
          <w:sz w:val="20"/>
          <w:szCs w:val="20"/>
        </w:rPr>
        <w:t>Solow</w:t>
      </w:r>
      <w:proofErr w:type="spellEnd"/>
      <w:r w:rsidRPr="006240E9">
        <w:rPr>
          <w:rFonts w:ascii="Segoe UI" w:hAnsi="Segoe UI" w:cs="Segoe UI"/>
          <w:sz w:val="20"/>
          <w:szCs w:val="20"/>
        </w:rPr>
        <w:t xml:space="preserve"> e </w:t>
      </w:r>
      <w:proofErr w:type="spellStart"/>
      <w:r w:rsidRPr="006240E9">
        <w:rPr>
          <w:rFonts w:ascii="Segoe UI" w:hAnsi="Segoe UI" w:cs="Segoe UI"/>
          <w:sz w:val="20"/>
          <w:szCs w:val="20"/>
        </w:rPr>
        <w:t>Denison</w:t>
      </w:r>
      <w:proofErr w:type="spellEnd"/>
      <w:r w:rsidRPr="006240E9">
        <w:rPr>
          <w:rFonts w:ascii="Segoe UI" w:hAnsi="Segoe UI" w:cs="Segoe UI"/>
          <w:sz w:val="20"/>
          <w:szCs w:val="20"/>
        </w:rPr>
        <w:t>, che permette di decomporre la crescita del PIL nei contributi dei diversi fattori. La sezione sulle "evoluzioni recenti della produttività" riflette l'attenzione agli sviluppi empirici contemporanei, incluso il rallentamento della produttività e il ruolo dell'innovazione tecnologica.</w:t>
      </w:r>
    </w:p>
    <w:p w:rsid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La distinzione tra "modelli di crescita nei Paesi sviluppati" e "modelli di sviluppo nel resto del mondo" fornisce una prospettiva comparativa internazionale, includendo strategie di sviluppo alternative e l'analisi delle trappole della povertà. Questa impostazione riflette l'influenza della letteratura sullo sviluppo economico e la crescita endogena.</w:t>
      </w:r>
    </w:p>
    <w:p w:rsidR="006240E9" w:rsidRPr="006240E9" w:rsidRDefault="006240E9" w:rsidP="006240E9">
      <w:pPr>
        <w:pStyle w:val="NormaleWeb"/>
        <w:spacing w:before="0" w:beforeAutospacing="0" w:after="0" w:afterAutospacing="0"/>
        <w:jc w:val="both"/>
        <w:rPr>
          <w:rFonts w:ascii="Segoe UI" w:hAnsi="Segoe UI" w:cs="Segoe UI"/>
          <w:sz w:val="20"/>
          <w:szCs w:val="20"/>
        </w:rPr>
      </w:pP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Style w:val="Enfasigrassetto"/>
          <w:rFonts w:ascii="Segoe UI" w:hAnsi="Segoe UI" w:cs="Segoe UI"/>
          <w:sz w:val="20"/>
          <w:szCs w:val="20"/>
          <w:bdr w:val="single" w:sz="2" w:space="0" w:color="auto" w:frame="1"/>
        </w:rPr>
        <w:t>Trattazione Temporale: Breve e Lungo Periodo</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 xml:space="preserve">L'approccio temporale è sistematicamente sviluppato sia a livello microeconomico che macroeconomico, riflettendo la tradizione </w:t>
      </w:r>
      <w:proofErr w:type="spellStart"/>
      <w:r w:rsidRPr="006240E9">
        <w:rPr>
          <w:rFonts w:ascii="Segoe UI" w:hAnsi="Segoe UI" w:cs="Segoe UI"/>
          <w:sz w:val="20"/>
          <w:szCs w:val="20"/>
        </w:rPr>
        <w:t>marshalliana</w:t>
      </w:r>
      <w:proofErr w:type="spellEnd"/>
      <w:r w:rsidRPr="006240E9">
        <w:rPr>
          <w:rFonts w:ascii="Segoe UI" w:hAnsi="Segoe UI" w:cs="Segoe UI"/>
          <w:sz w:val="20"/>
          <w:szCs w:val="20"/>
        </w:rPr>
        <w:t xml:space="preserve"> della distinzione temporale. Nel Capitolo 5 sulla produzione, la distinzione tra breve e lungo periodo è sviluppata attraverso l'analisi dei fattori fissi e variabili e dei rendimenti di scala.</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Il Capitolo 7 sulla concorrenza perfetta applica questa distinzione nell'analisi dell'equilibrio dell'impresa e dell'industria, mostrando come l'offerta di lungo periodo differisca da quella di breve periodo attraverso i meccanismi di entrata e uscita. Questa progressione temporale è applicata sistematicamente nelle altre strutture di mercato.</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A livello macroeconomico, la distinzione temporale è particolarmente sofisticata. Il modello DA-OA (Capitolo 19) distingue esplicitamente tra offerta aggregata di breve e lungo periodo, mentre l'analisi della curva di Phillips (Capitolo 21) sviluppa la distinzione tra effetti di breve e lungo periodo delle politiche monetarie.</w:t>
      </w:r>
    </w:p>
    <w:p w:rsid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Il Capitolo 26 sul modello IS-LM integra questa distinzione temporale nell'analisi delle politiche di stabilizzazione, mentre il Capitolo 27 sulla crescita si concentra sui fenomeni di lungo periodo. Questa struttura permette agli studenti di comprendere come i meccanismi economici operino diversamente in orizzonti temporali differenti.</w:t>
      </w:r>
    </w:p>
    <w:p w:rsidR="006240E9" w:rsidRPr="006240E9" w:rsidRDefault="006240E9" w:rsidP="006240E9">
      <w:pPr>
        <w:pStyle w:val="NormaleWeb"/>
        <w:spacing w:before="0" w:beforeAutospacing="0" w:after="0" w:afterAutospacing="0"/>
        <w:jc w:val="both"/>
        <w:rPr>
          <w:rFonts w:ascii="Segoe UI" w:hAnsi="Segoe UI" w:cs="Segoe UI"/>
          <w:sz w:val="20"/>
          <w:szCs w:val="20"/>
        </w:rPr>
      </w:pPr>
      <w:bookmarkStart w:id="0" w:name="_GoBack"/>
      <w:bookmarkEnd w:id="0"/>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Style w:val="Enfasigrassetto"/>
          <w:rFonts w:ascii="Segoe UI" w:hAnsi="Segoe UI" w:cs="Segoe UI"/>
          <w:sz w:val="20"/>
          <w:szCs w:val="20"/>
          <w:bdr w:val="single" w:sz="2" w:space="0" w:color="auto" w:frame="1"/>
        </w:rPr>
        <w:t>Argomenti Non Standard e Innovazioni Didattiche</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Il manuale presenta numerose innovazioni che riflettono la sua continua evoluzione nel tempo. La Parte III sulla "Microeconomia applicata" include argomenti spesso trascurati nei testi introduttivi: sistema fiscale (Capitolo 14), politiche antitrust (Capitolo 15), risorse naturali e ambiente (Capitolo 16), e disuguaglianza del reddito (Capitolo 17).</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 xml:space="preserve">Il Capitolo 10 su "Concorrenza monopolistica, rischio e incertezza" rappresenta un'innovazione significativa, integrando teoria delle strutture di mercato con economia dell'informazione e teoria del rischio. L'inclusione dell'"ipotesi di </w:t>
      </w:r>
      <w:proofErr w:type="spellStart"/>
      <w:r w:rsidRPr="006240E9">
        <w:rPr>
          <w:rFonts w:ascii="Segoe UI" w:hAnsi="Segoe UI" w:cs="Segoe UI"/>
          <w:sz w:val="20"/>
          <w:szCs w:val="20"/>
        </w:rPr>
        <w:t>Schumpeter</w:t>
      </w:r>
      <w:proofErr w:type="spellEnd"/>
      <w:r w:rsidRPr="006240E9">
        <w:rPr>
          <w:rFonts w:ascii="Segoe UI" w:hAnsi="Segoe UI" w:cs="Segoe UI"/>
          <w:sz w:val="20"/>
          <w:szCs w:val="20"/>
        </w:rPr>
        <w:t>" sull'innovazione e la "speculazione" fornisce una prospettiva dinamica spesso assente nei trattamenti statici.</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Il Capitolo 13 sui fallimenti del mercato presenta una trattazione particolarmente completa che include asimmetrie informative (selezione avversa e azzardo morale), esternalità con particolare attenzione ai cambiamenti climatici, e beni pubblici. L'analisi del "problema delle variazioni climatiche" riflette l'attenzione alle sfide ambientali contemporanee.</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Il Capitolo 24 sul sistema finanziario include un'analisi approfondita della borsa e dei mercati efficienti, con la teoria del "percorso casuale" che raramente trova spazio in testi introduttivi. Questa integrazione tra economia reale e finanziaria riflette l'importanza crescente dei mercati finanziari.</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La Parte VI sull'economia aperta presenta un'analisi particolarmente completa che include non solo teoria del commercio internazionale ma anche sistema monetario internazionale, politiche di stabilizzazione in economia aperta, e un capitolo specifico sull'Unione Monetaria Europea (Capitolo 32).</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Il Capitolo 33 rappresenta l'innovazione più significativa, analizzando "L'instabilità del nuovo Millennio" attraverso tre crisi successive: Grande Crisi del 2008, pandemia COVID-19, e guerra russo-ucraina. Questa analisi integra teoria economica ed eventi contemporanei, fornendo agli studenti strumenti per comprendere le crisi economiche attuali.</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lastRenderedPageBreak/>
        <w:t xml:space="preserve">L'approccio pedagogico mantiene le caratteristiche distintive </w:t>
      </w:r>
      <w:proofErr w:type="spellStart"/>
      <w:r w:rsidRPr="006240E9">
        <w:rPr>
          <w:rFonts w:ascii="Segoe UI" w:hAnsi="Segoe UI" w:cs="Segoe UI"/>
          <w:sz w:val="20"/>
          <w:szCs w:val="20"/>
        </w:rPr>
        <w:t>samuelsoniane</w:t>
      </w:r>
      <w:proofErr w:type="spellEnd"/>
      <w:r w:rsidRPr="006240E9">
        <w:rPr>
          <w:rFonts w:ascii="Segoe UI" w:hAnsi="Segoe UI" w:cs="Segoe UI"/>
          <w:sz w:val="20"/>
          <w:szCs w:val="20"/>
        </w:rPr>
        <w:t>: chiarezza espositiva, uso sistematico di grafici e esempi numerici, "Guide per lo studio" che facilitano la revisione, e appendici tecniche per approfondimenti matematici. La presenza di un glossario completo e di un indice analitico dettagliato facilita la consultazione e lo studio.</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La sezione finale sulle "Scuole e dibattiti di macroeconomia" (disponibile online) rappresenta un tentativo di fornire agli studenti una comprensione critica delle controversie teoriche contemporanee, preparandoli a comprendere la complessità del dibattito economico professionale.</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L'integrazione sistematica di politiche economiche reali (dalla politica monetaria della BCE alle politiche ambientali) con i modelli teorici rappresenta un tentativo di collegare teoria ed evidenza empirica, mantenendo la rilevanza del testo per la comprensione dell'economia contemporanea.</w:t>
      </w:r>
    </w:p>
    <w:p w:rsidR="006240E9" w:rsidRPr="006240E9" w:rsidRDefault="006240E9" w:rsidP="006240E9">
      <w:pPr>
        <w:pStyle w:val="NormaleWeb"/>
        <w:spacing w:before="0" w:beforeAutospacing="0" w:after="0" w:afterAutospacing="0"/>
        <w:jc w:val="both"/>
        <w:rPr>
          <w:rFonts w:ascii="Segoe UI" w:hAnsi="Segoe UI" w:cs="Segoe UI"/>
          <w:sz w:val="20"/>
          <w:szCs w:val="20"/>
        </w:rPr>
      </w:pPr>
      <w:r w:rsidRPr="006240E9">
        <w:rPr>
          <w:rFonts w:ascii="Segoe UI" w:hAnsi="Segoe UI" w:cs="Segoe UI"/>
          <w:sz w:val="20"/>
          <w:szCs w:val="20"/>
        </w:rPr>
        <w:t xml:space="preserve">La struttura complessiva, che procede dai principi fondamentali alle applicazioni più sofisticate, riflette la filosofia pedagogica </w:t>
      </w:r>
      <w:proofErr w:type="spellStart"/>
      <w:r w:rsidRPr="006240E9">
        <w:rPr>
          <w:rFonts w:ascii="Segoe UI" w:hAnsi="Segoe UI" w:cs="Segoe UI"/>
          <w:sz w:val="20"/>
          <w:szCs w:val="20"/>
        </w:rPr>
        <w:t>samuelsoniana</w:t>
      </w:r>
      <w:proofErr w:type="spellEnd"/>
      <w:r w:rsidRPr="006240E9">
        <w:rPr>
          <w:rFonts w:ascii="Segoe UI" w:hAnsi="Segoe UI" w:cs="Segoe UI"/>
          <w:sz w:val="20"/>
          <w:szCs w:val="20"/>
        </w:rPr>
        <w:t xml:space="preserve"> che privilegia la costruzione graduale della competenza economica attraverso l'integrazione sistematica di teoria, evidenza empirica e applicazioni di policy.</w:t>
      </w:r>
    </w:p>
    <w:p w:rsidR="00D24BFA" w:rsidRPr="006240E9" w:rsidRDefault="00D24BFA" w:rsidP="006240E9">
      <w:pPr>
        <w:spacing w:after="0" w:line="240" w:lineRule="auto"/>
        <w:jc w:val="both"/>
        <w:rPr>
          <w:rFonts w:ascii="Segoe UI" w:hAnsi="Segoe UI" w:cs="Segoe UI"/>
          <w:sz w:val="20"/>
          <w:szCs w:val="20"/>
        </w:rPr>
      </w:pPr>
    </w:p>
    <w:sectPr w:rsidR="00D24BFA" w:rsidRPr="006240E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0E9"/>
    <w:rsid w:val="006240E9"/>
    <w:rsid w:val="00D24B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370E06-7DE9-401A-8E40-6803EC805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6240E9"/>
    <w:pPr>
      <w:spacing w:before="100" w:beforeAutospacing="1" w:after="100" w:afterAutospacing="1" w:line="240" w:lineRule="auto"/>
    </w:pPr>
    <w:rPr>
      <w:rFonts w:ascii="Times New Roman" w:eastAsia="Times New Roman" w:hAnsi="Times New Roman" w:cs="Times New Roman"/>
      <w:szCs w:val="24"/>
      <w:lang w:eastAsia="it-IT"/>
    </w:rPr>
  </w:style>
  <w:style w:type="character" w:styleId="Enfasigrassetto">
    <w:name w:val="Strong"/>
    <w:basedOn w:val="Carpredefinitoparagrafo"/>
    <w:uiPriority w:val="22"/>
    <w:qFormat/>
    <w:rsid w:val="006240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4604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1538</Words>
  <Characters>8770</Characters>
  <Application>Microsoft Office Word</Application>
  <DocSecurity>0</DocSecurity>
  <Lines>73</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Zanichelli</dc:creator>
  <cp:keywords/>
  <dc:description/>
  <cp:lastModifiedBy>Zanichelli</cp:lastModifiedBy>
  <cp:revision>1</cp:revision>
  <dcterms:created xsi:type="dcterms:W3CDTF">2025-09-27T07:32:00Z</dcterms:created>
  <dcterms:modified xsi:type="dcterms:W3CDTF">2025-09-27T07:34:00Z</dcterms:modified>
</cp:coreProperties>
</file>