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275E" w:rsidRPr="005D275E" w:rsidRDefault="005D275E" w:rsidP="005D275E">
      <w:pPr>
        <w:pStyle w:val="NormaleWeb"/>
        <w:spacing w:before="0" w:beforeAutospacing="0" w:after="0" w:afterAutospacing="0"/>
        <w:jc w:val="center"/>
        <w:rPr>
          <w:rStyle w:val="Enfasigrassetto"/>
          <w:rFonts w:ascii="Segoe UI" w:hAnsi="Segoe UI" w:cs="Segoe UI"/>
          <w:bdr w:val="single" w:sz="2" w:space="0" w:color="auto" w:frame="1"/>
        </w:rPr>
      </w:pPr>
      <w:r w:rsidRPr="005D275E">
        <w:rPr>
          <w:rStyle w:val="Enfasigrassetto"/>
          <w:rFonts w:ascii="Segoe UI" w:hAnsi="Segoe UI" w:cs="Segoe UI"/>
          <w:bdr w:val="single" w:sz="2" w:space="0" w:color="auto" w:frame="1"/>
        </w:rPr>
        <w:t>REPORT ANALITICO: "ELEMENTI DI ECONOMI</w:t>
      </w:r>
      <w:r w:rsidRPr="005D275E">
        <w:rPr>
          <w:rStyle w:val="Enfasigrassetto"/>
          <w:rFonts w:ascii="Segoe UI" w:hAnsi="Segoe UI" w:cs="Segoe UI"/>
          <w:bdr w:val="single" w:sz="2" w:space="0" w:color="auto" w:frame="1"/>
        </w:rPr>
        <w:t>A" - SLOMAN, GARRATT</w:t>
      </w:r>
    </w:p>
    <w:p w:rsidR="005D275E" w:rsidRPr="005D275E" w:rsidRDefault="005D275E" w:rsidP="005D275E">
      <w:pPr>
        <w:pStyle w:val="NormaleWeb"/>
        <w:spacing w:before="0" w:beforeAutospacing="0" w:after="0" w:afterAutospacing="0"/>
        <w:jc w:val="both"/>
        <w:rPr>
          <w:rFonts w:ascii="Segoe UI" w:hAnsi="Segoe UI" w:cs="Segoe UI"/>
          <w:sz w:val="20"/>
          <w:szCs w:val="20"/>
        </w:rPr>
      </w:pP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Style w:val="Enfasigrassetto"/>
          <w:rFonts w:ascii="Segoe UI" w:hAnsi="Segoe UI" w:cs="Segoe UI"/>
          <w:sz w:val="20"/>
          <w:szCs w:val="20"/>
          <w:bdr w:val="single" w:sz="2" w:space="0" w:color="auto" w:frame="1"/>
        </w:rPr>
        <w:t>Inquadramento Generale dell'Opera</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 xml:space="preserve">Il manuale di </w:t>
      </w:r>
      <w:proofErr w:type="spellStart"/>
      <w:r w:rsidRPr="005D275E">
        <w:rPr>
          <w:rFonts w:ascii="Segoe UI" w:hAnsi="Segoe UI" w:cs="Segoe UI"/>
          <w:sz w:val="20"/>
          <w:szCs w:val="20"/>
        </w:rPr>
        <w:t>Sloman</w:t>
      </w:r>
      <w:proofErr w:type="spellEnd"/>
      <w:r w:rsidRPr="005D275E">
        <w:rPr>
          <w:rFonts w:ascii="Segoe UI" w:hAnsi="Segoe UI" w:cs="Segoe UI"/>
          <w:sz w:val="20"/>
          <w:szCs w:val="20"/>
        </w:rPr>
        <w:t xml:space="preserve"> e </w:t>
      </w:r>
      <w:proofErr w:type="spellStart"/>
      <w:r w:rsidRPr="005D275E">
        <w:rPr>
          <w:rFonts w:ascii="Segoe UI" w:hAnsi="Segoe UI" w:cs="Segoe UI"/>
          <w:sz w:val="20"/>
          <w:szCs w:val="20"/>
        </w:rPr>
        <w:t>Garratt</w:t>
      </w:r>
      <w:proofErr w:type="spellEnd"/>
      <w:r w:rsidRPr="005D275E">
        <w:rPr>
          <w:rFonts w:ascii="Segoe UI" w:hAnsi="Segoe UI" w:cs="Segoe UI"/>
          <w:sz w:val="20"/>
          <w:szCs w:val="20"/>
        </w:rPr>
        <w:t xml:space="preserve"> rappresenta un approccio distintivo all'insegnamento dell'economia, caratterizzato da una filosofia pedagogica che privilegia la comprensione intuitiva dei meccanismi economici attraverso esempi concreti e applicazioni pratiche. L'architettura dell'opera, organizzata in tre parti principali (Microeconomia, Macroeconomia, Economia Internazionale) precedute da un'introduzione metodologica, rivela una strategia didattica che procede dai problemi economici fondamentali alle applicazioni internazionali contemporanee.</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 xml:space="preserve">La struttura del testo si distingue per l'integrazione sistematica di contributi specialistici di esperti italiani (Guido </w:t>
      </w:r>
      <w:proofErr w:type="spellStart"/>
      <w:r w:rsidRPr="005D275E">
        <w:rPr>
          <w:rFonts w:ascii="Segoe UI" w:hAnsi="Segoe UI" w:cs="Segoe UI"/>
          <w:sz w:val="20"/>
          <w:szCs w:val="20"/>
        </w:rPr>
        <w:t>Merzoni</w:t>
      </w:r>
      <w:proofErr w:type="spellEnd"/>
      <w:r w:rsidRPr="005D275E">
        <w:rPr>
          <w:rFonts w:ascii="Segoe UI" w:hAnsi="Segoe UI" w:cs="Segoe UI"/>
          <w:sz w:val="20"/>
          <w:szCs w:val="20"/>
        </w:rPr>
        <w:t xml:space="preserve"> per la domanda individuale, Mario A. Maggioni per il modello IS-LM), che arricchiscono l'opera con prospettive specifiche e approfondimenti tecnici. Questa collaborazione internazionale riflette l'approccio globale degli autori e l'adattamento del contenuto al contesto europeo.</w:t>
      </w:r>
    </w:p>
    <w:p w:rsid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L'innovazione principale risiede nell'equilibrio tra accessibilità pedagogica e rigore teorico, evidente nella presenza di sezioni dedicate come "Idee chiave", glossario esteso e indice analitico dettagliato. La particolare attenzione all'economia comportamentale (Capitolo I.5) e ai limiti della teoria tradizionale (Capitolo IV.7) indica un approccio critico che riconosce l'evoluzione contemporanea della disciplina.</w:t>
      </w:r>
    </w:p>
    <w:p w:rsidR="005D275E" w:rsidRPr="005D275E" w:rsidRDefault="005D275E" w:rsidP="005D275E">
      <w:pPr>
        <w:pStyle w:val="NormaleWeb"/>
        <w:spacing w:before="0" w:beforeAutospacing="0" w:after="0" w:afterAutospacing="0"/>
        <w:jc w:val="both"/>
        <w:rPr>
          <w:rFonts w:ascii="Segoe UI" w:hAnsi="Segoe UI" w:cs="Segoe UI"/>
          <w:sz w:val="20"/>
          <w:szCs w:val="20"/>
        </w:rPr>
      </w:pP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Style w:val="Enfasigrassetto"/>
          <w:rFonts w:ascii="Segoe UI" w:hAnsi="Segoe UI" w:cs="Segoe UI"/>
          <w:sz w:val="20"/>
          <w:szCs w:val="20"/>
          <w:bdr w:val="single" w:sz="2" w:space="0" w:color="auto" w:frame="1"/>
        </w:rPr>
        <w:t>Scuole di Pensiero Economiche di Riferimento</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 xml:space="preserve">L'impostazione teorica di </w:t>
      </w:r>
      <w:proofErr w:type="spellStart"/>
      <w:r w:rsidRPr="005D275E">
        <w:rPr>
          <w:rFonts w:ascii="Segoe UI" w:hAnsi="Segoe UI" w:cs="Segoe UI"/>
          <w:sz w:val="20"/>
          <w:szCs w:val="20"/>
        </w:rPr>
        <w:t>Sloman-Garratt</w:t>
      </w:r>
      <w:proofErr w:type="spellEnd"/>
      <w:r w:rsidRPr="005D275E">
        <w:rPr>
          <w:rFonts w:ascii="Segoe UI" w:hAnsi="Segoe UI" w:cs="Segoe UI"/>
          <w:sz w:val="20"/>
          <w:szCs w:val="20"/>
        </w:rPr>
        <w:t xml:space="preserve"> è caratterizzata da un pragmatismo metodologico che integra diversi approcci teorici senza privilegiare dogmaticamente una singola scuola. La sezione microeconomica segue prevalentemente l'approccio neoclassico </w:t>
      </w:r>
      <w:proofErr w:type="spellStart"/>
      <w:r w:rsidRPr="005D275E">
        <w:rPr>
          <w:rFonts w:ascii="Segoe UI" w:hAnsi="Segoe UI" w:cs="Segoe UI"/>
          <w:sz w:val="20"/>
          <w:szCs w:val="20"/>
        </w:rPr>
        <w:t>marshalliano</w:t>
      </w:r>
      <w:proofErr w:type="spellEnd"/>
      <w:r w:rsidRPr="005D275E">
        <w:rPr>
          <w:rFonts w:ascii="Segoe UI" w:hAnsi="Segoe UI" w:cs="Segoe UI"/>
          <w:sz w:val="20"/>
          <w:szCs w:val="20"/>
        </w:rPr>
        <w:t>, con particolare enfasi sull'analisi dell'equilibrio parziale e sui meccanismi di mercato.</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 xml:space="preserve">Tuttavia, l'inclusione dell'economia comportamentale (Capitolo I.5) indica un'apertura verso gli sviluppi più recenti della disciplina, incorporando </w:t>
      </w:r>
      <w:proofErr w:type="spellStart"/>
      <w:r w:rsidRPr="005D275E">
        <w:rPr>
          <w:rFonts w:ascii="Segoe UI" w:hAnsi="Segoe UI" w:cs="Segoe UI"/>
          <w:sz w:val="20"/>
          <w:szCs w:val="20"/>
        </w:rPr>
        <w:t>insights</w:t>
      </w:r>
      <w:proofErr w:type="spellEnd"/>
      <w:r w:rsidRPr="005D275E">
        <w:rPr>
          <w:rFonts w:ascii="Segoe UI" w:hAnsi="Segoe UI" w:cs="Segoe UI"/>
          <w:sz w:val="20"/>
          <w:szCs w:val="20"/>
        </w:rPr>
        <w:t xml:space="preserve"> dalla psicologia economica e dalla teoria delle decisioni sotto incertezza. Questo approccio riflette l'influenza crescente di autori come </w:t>
      </w:r>
      <w:proofErr w:type="spellStart"/>
      <w:r w:rsidRPr="005D275E">
        <w:rPr>
          <w:rFonts w:ascii="Segoe UI" w:hAnsi="Segoe UI" w:cs="Segoe UI"/>
          <w:sz w:val="20"/>
          <w:szCs w:val="20"/>
        </w:rPr>
        <w:t>Kahneman</w:t>
      </w:r>
      <w:proofErr w:type="spellEnd"/>
      <w:r w:rsidRPr="005D275E">
        <w:rPr>
          <w:rFonts w:ascii="Segoe UI" w:hAnsi="Segoe UI" w:cs="Segoe UI"/>
          <w:sz w:val="20"/>
          <w:szCs w:val="20"/>
        </w:rPr>
        <w:t xml:space="preserve">, </w:t>
      </w:r>
      <w:proofErr w:type="spellStart"/>
      <w:r w:rsidRPr="005D275E">
        <w:rPr>
          <w:rFonts w:ascii="Segoe UI" w:hAnsi="Segoe UI" w:cs="Segoe UI"/>
          <w:sz w:val="20"/>
          <w:szCs w:val="20"/>
        </w:rPr>
        <w:t>Tversky</w:t>
      </w:r>
      <w:proofErr w:type="spellEnd"/>
      <w:r w:rsidRPr="005D275E">
        <w:rPr>
          <w:rFonts w:ascii="Segoe UI" w:hAnsi="Segoe UI" w:cs="Segoe UI"/>
          <w:sz w:val="20"/>
          <w:szCs w:val="20"/>
        </w:rPr>
        <w:t xml:space="preserve"> e </w:t>
      </w:r>
      <w:proofErr w:type="spellStart"/>
      <w:r w:rsidRPr="005D275E">
        <w:rPr>
          <w:rFonts w:ascii="Segoe UI" w:hAnsi="Segoe UI" w:cs="Segoe UI"/>
          <w:sz w:val="20"/>
          <w:szCs w:val="20"/>
        </w:rPr>
        <w:t>Thaler</w:t>
      </w:r>
      <w:proofErr w:type="spellEnd"/>
      <w:r w:rsidRPr="005D275E">
        <w:rPr>
          <w:rFonts w:ascii="Segoe UI" w:hAnsi="Segoe UI" w:cs="Segoe UI"/>
          <w:sz w:val="20"/>
          <w:szCs w:val="20"/>
        </w:rPr>
        <w:t xml:space="preserve"> nella teoria economica contemporanea.</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 xml:space="preserve">Sul fronte macroeconomico, l'approccio è distintamente keynesiano, con il Capitolo VIII dedicato alla "determinazione del reddito nazionale" secondo l'approccio della domanda effettiva. Il modello del moltiplicatore keynesiano costituisce il </w:t>
      </w:r>
      <w:proofErr w:type="spellStart"/>
      <w:r w:rsidRPr="005D275E">
        <w:rPr>
          <w:rFonts w:ascii="Segoe UI" w:hAnsi="Segoe UI" w:cs="Segoe UI"/>
          <w:sz w:val="20"/>
          <w:szCs w:val="20"/>
        </w:rPr>
        <w:t>framework</w:t>
      </w:r>
      <w:proofErr w:type="spellEnd"/>
      <w:r w:rsidRPr="005D275E">
        <w:rPr>
          <w:rFonts w:ascii="Segoe UI" w:hAnsi="Segoe UI" w:cs="Segoe UI"/>
          <w:sz w:val="20"/>
          <w:szCs w:val="20"/>
        </w:rPr>
        <w:t xml:space="preserve"> centrale, integrato con l'analisi IS-LM (Capitolo XI) per fornire una comprensione completa delle politiche macroeconomiche.</w:t>
      </w:r>
    </w:p>
    <w:p w:rsid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La presenza di un dibattito esplicito tra "keynesiani e monetaristi" (Capitolo XI.6) indica un approccio equilibrato che presenta diverse prospettive teoriche senza nascondere le controversie esistenti. Questa impostazione pedagogica aiuta gli studenti a comprendere la natura evolutiva e dibattuta della teoria economica.</w:t>
      </w:r>
    </w:p>
    <w:p w:rsidR="005D275E" w:rsidRPr="005D275E" w:rsidRDefault="005D275E" w:rsidP="005D275E">
      <w:pPr>
        <w:pStyle w:val="NormaleWeb"/>
        <w:spacing w:before="0" w:beforeAutospacing="0" w:after="0" w:afterAutospacing="0"/>
        <w:jc w:val="both"/>
        <w:rPr>
          <w:rFonts w:ascii="Segoe UI" w:hAnsi="Segoe UI" w:cs="Segoe UI"/>
          <w:sz w:val="20"/>
          <w:szCs w:val="20"/>
        </w:rPr>
      </w:pP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Style w:val="Enfasigrassetto"/>
          <w:rFonts w:ascii="Segoe UI" w:hAnsi="Segoe UI" w:cs="Segoe UI"/>
          <w:sz w:val="20"/>
          <w:szCs w:val="20"/>
          <w:bdr w:val="single" w:sz="2" w:space="0" w:color="auto" w:frame="1"/>
        </w:rPr>
        <w:t>Modelli Economici Micro e Macroeconomici</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 xml:space="preserve">La struttura microeconomica presenta una progressione completa e pedagogicamente efficace. Il Capitolo I sviluppa il modello di domanda e offerta con particolare attenzione ai meccanismi di aggiustamento del mercato e all'economia comportamentale. Il Capitolo II, curato da Guido </w:t>
      </w:r>
      <w:proofErr w:type="spellStart"/>
      <w:r w:rsidRPr="005D275E">
        <w:rPr>
          <w:rFonts w:ascii="Segoe UI" w:hAnsi="Segoe UI" w:cs="Segoe UI"/>
          <w:sz w:val="20"/>
          <w:szCs w:val="20"/>
        </w:rPr>
        <w:t>Merzoni</w:t>
      </w:r>
      <w:proofErr w:type="spellEnd"/>
      <w:r w:rsidRPr="005D275E">
        <w:rPr>
          <w:rFonts w:ascii="Segoe UI" w:hAnsi="Segoe UI" w:cs="Segoe UI"/>
          <w:sz w:val="20"/>
          <w:szCs w:val="20"/>
        </w:rPr>
        <w:t>, presenta un'analisi rigorosa della teoria del consumatore attraverso vincoli di bilancio, curve di indifferenza e ottimizzazione.</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Il Capitolo III sull'elasticità presenta un'analisi approfondita che include non solo elasticità della domanda e dell'offerta ma anche "aggiustamento dei mercati nel tempo" e "mercati con prezzi controllati". Questa impostazione dinamica fornisce una comprensione più realistica del funzionamento dei mercati.</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Il Capitolo IV sulla produzione e costi presenta una trattazione completa che distingue sistematicamente tra breve e lungo periodo, includendo analisi di ricavi, massimizzazione del profitto e "limiti della teoria tradizionale". Questa sezione critica riflette la consapevolezza degli autori riguardo ai limiti dell'approccio neoclassico standard.</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 xml:space="preserve">Il Capitolo V sulle forme di mercato presenta una progressione completa dalla concorrenza perfetta al monopolio, alla concorrenza monopolistica e all'oligopolio, con integrazione sistematica della teoria dei giochi. L'inclusione della discriminazione di prezzo come argomento separato indica un'attenzione particolare alle strategie di </w:t>
      </w:r>
      <w:proofErr w:type="spellStart"/>
      <w:r w:rsidRPr="005D275E">
        <w:rPr>
          <w:rFonts w:ascii="Segoe UI" w:hAnsi="Segoe UI" w:cs="Segoe UI"/>
          <w:sz w:val="20"/>
          <w:szCs w:val="20"/>
        </w:rPr>
        <w:t>pricing</w:t>
      </w:r>
      <w:proofErr w:type="spellEnd"/>
      <w:r w:rsidRPr="005D275E">
        <w:rPr>
          <w:rFonts w:ascii="Segoe UI" w:hAnsi="Segoe UI" w:cs="Segoe UI"/>
          <w:sz w:val="20"/>
          <w:szCs w:val="20"/>
        </w:rPr>
        <w:t xml:space="preserve"> delle imprese moderne.</w:t>
      </w:r>
    </w:p>
    <w:p w:rsid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lastRenderedPageBreak/>
        <w:t>La sezione macroeconomica presenta una sequenza logica che parte dalle problematiche macroeconomiche generali (Capitolo VII) per sviluppare il modello keynesiano di determinazione del reddito (Capitolo VIII), l'analisi monetaria (Capitolo IX), le politiche economiche (Capitolo X) e infine il modello IS-LM completo (Capitolo XI).</w:t>
      </w:r>
    </w:p>
    <w:p w:rsidR="005D275E" w:rsidRPr="005D275E" w:rsidRDefault="005D275E" w:rsidP="005D275E">
      <w:pPr>
        <w:pStyle w:val="NormaleWeb"/>
        <w:spacing w:before="0" w:beforeAutospacing="0" w:after="0" w:afterAutospacing="0"/>
        <w:jc w:val="both"/>
        <w:rPr>
          <w:rFonts w:ascii="Segoe UI" w:hAnsi="Segoe UI" w:cs="Segoe UI"/>
          <w:sz w:val="20"/>
          <w:szCs w:val="20"/>
        </w:rPr>
      </w:pP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Style w:val="Enfasigrassetto"/>
          <w:rFonts w:ascii="Segoe UI" w:hAnsi="Segoe UI" w:cs="Segoe UI"/>
          <w:sz w:val="20"/>
          <w:szCs w:val="20"/>
          <w:bdr w:val="single" w:sz="2" w:space="0" w:color="auto" w:frame="1"/>
        </w:rPr>
        <w:t>Modelli di Crescita Economica</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La trattazione della crescita economica è integrata nel Capitolo VII.3 su "Crescita economica e andamento ciclico", suggerendo un approccio che collega crescita di lungo periodo e fluttuazioni cicliche. Questa impostazione riflette una prospettiva che vede crescita e cicli come fenomeni interconnessi piuttosto che separati.</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L'approccio sembra privilegiare l'analisi delle politiche di crescita attraverso le "politiche pubbliche dal lato dell'offerta su imprese e industrie" (Capitolo X.4), indicando un'attenzione particolare agli aspetti microeconomici della crescita e al ruolo delle politiche industriali.</w:t>
      </w:r>
    </w:p>
    <w:p w:rsid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Questa scelta editoriale riflette probabilmente l'influenza dell'esperienza europea in materia di politiche industriali e di crescita, dove l'intervento pubblico ha tradizionalmente giocato un ruolo più significativo rispetto al modello anglosassone.</w:t>
      </w:r>
    </w:p>
    <w:p w:rsidR="005D275E" w:rsidRPr="005D275E" w:rsidRDefault="005D275E" w:rsidP="005D275E">
      <w:pPr>
        <w:pStyle w:val="NormaleWeb"/>
        <w:spacing w:before="0" w:beforeAutospacing="0" w:after="0" w:afterAutospacing="0"/>
        <w:jc w:val="both"/>
        <w:rPr>
          <w:rFonts w:ascii="Segoe UI" w:hAnsi="Segoe UI" w:cs="Segoe UI"/>
          <w:sz w:val="20"/>
          <w:szCs w:val="20"/>
        </w:rPr>
      </w:pP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Style w:val="Enfasigrassetto"/>
          <w:rFonts w:ascii="Segoe UI" w:hAnsi="Segoe UI" w:cs="Segoe UI"/>
          <w:sz w:val="20"/>
          <w:szCs w:val="20"/>
          <w:bdr w:val="single" w:sz="2" w:space="0" w:color="auto" w:frame="1"/>
        </w:rPr>
        <w:t>Trattazione Temporale: Breve e Lungo Periodo</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L'approccio temporale è sistematicamente sviluppato sia a livello microeconomico che macroeconomico. Nel Capitolo IV sulla produzione, la distinzione tra breve e lungo periodo è sviluppata attraverso l'analisi dei fattori fissi e variabili, dei costi e delle economie di scala.</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Il Capitolo V sulle forme di mercato applica questa distinzione nell'analisi dell'equilibrio delle imprese e dei mercati, mostrando come le condizioni di lungo periodo differiscano da quelle di breve periodo attraverso meccanismi di entrata e uscita.</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A livello macroeconomico, il Capitolo III.5 sui "mercati e l'aggiustamento nel tempo" introduce esplicitamente la dimensione temporale nell'analisi dei mercati. Il Capitolo VIII sull'analisi keynesiana sviluppa la distinzione tra equilibrio di breve periodo (determinato dalla domanda effettiva) e aggiustamenti di lungo periodo.</w:t>
      </w:r>
    </w:p>
    <w:p w:rsid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Il modello IS-LM (Capitolo XI) integra questa distinzione temporale nell'analisi delle politiche economiche, distinguendo tra effetti immediati e effetti di lungo periodo delle politiche fiscali e monetarie.</w:t>
      </w:r>
    </w:p>
    <w:p w:rsidR="005D275E" w:rsidRPr="005D275E" w:rsidRDefault="005D275E" w:rsidP="005D275E">
      <w:pPr>
        <w:pStyle w:val="NormaleWeb"/>
        <w:spacing w:before="0" w:beforeAutospacing="0" w:after="0" w:afterAutospacing="0"/>
        <w:jc w:val="both"/>
        <w:rPr>
          <w:rFonts w:ascii="Segoe UI" w:hAnsi="Segoe UI" w:cs="Segoe UI"/>
          <w:sz w:val="20"/>
          <w:szCs w:val="20"/>
        </w:rPr>
      </w:pPr>
      <w:bookmarkStart w:id="0" w:name="_GoBack"/>
      <w:bookmarkEnd w:id="0"/>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Style w:val="Enfasigrassetto"/>
          <w:rFonts w:ascii="Segoe UI" w:hAnsi="Segoe UI" w:cs="Segoe UI"/>
          <w:sz w:val="20"/>
          <w:szCs w:val="20"/>
          <w:bdr w:val="single" w:sz="2" w:space="0" w:color="auto" w:frame="1"/>
        </w:rPr>
        <w:t>Argomenti Non Standard e Innovazioni Didattiche</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 xml:space="preserve">Il manuale presenta diverse innovazioni che lo distinguono dai testi tradizionali. L'inclusione dell'economia comportamentale (Capitolo I.5) rappresenta un'innovazione significativa per un testo introduttivo, incorporando </w:t>
      </w:r>
      <w:proofErr w:type="spellStart"/>
      <w:r w:rsidRPr="005D275E">
        <w:rPr>
          <w:rFonts w:ascii="Segoe UI" w:hAnsi="Segoe UI" w:cs="Segoe UI"/>
          <w:sz w:val="20"/>
          <w:szCs w:val="20"/>
        </w:rPr>
        <w:t>bias</w:t>
      </w:r>
      <w:proofErr w:type="spellEnd"/>
      <w:r w:rsidRPr="005D275E">
        <w:rPr>
          <w:rFonts w:ascii="Segoe UI" w:hAnsi="Segoe UI" w:cs="Segoe UI"/>
          <w:sz w:val="20"/>
          <w:szCs w:val="20"/>
        </w:rPr>
        <w:t xml:space="preserve"> cognitivi, euristica decisionale e limitazioni alla razionalità.</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Il Capitolo IV.7 sui "limiti della teoria tradizionale" rappresenta un'innovazione pedagogica importante, fornendo agli studenti una prospettiva critica sui modelli neoclassici standard. Questa sezione probabilmente include discussioni su razionalità limitata, costi di transazione e approcci alternativi alla teoria dell'impresa.</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Il Capitolo VI sui fallimenti del mercato presenta una trattazione particolarmente completa che include non solo esternalità e beni pubblici ma anche "potere monopolistico", "altri fallimenti del mercato" e diverse forme di intervento pubblico. La sezione finale "Più o meno intervento pubblico?" riflette il dibattito contemporaneo sul ruolo dello Stato nell'economia.</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La Parte Terza sull'economia internazionale presenta un'analisi moderna che integra commercio internazionale, globalizzazione, e istituzioni monetarie internazionali. Il Capitolo XII include un'analisi approfondita dell'Unione Europea come esempio di integrazione economica regionale.</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Il Capitolo XIII presenta un'analisi particolarmente dettagliata dell'Unione Monetaria Europea e delle "origini dell'euro", fornendo agli studenti europei una comprensione specifica del contesto istituzionale in cui operano. Questa attenzione al contesto europeo riflette l'adattamento del testo al pubblico di riferimento.</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L'approccio pedagogico si distingue per l'uso sistematico di esempi concreti, applicazioni pratiche e collegamenti con l'attualità economica. La presenza di "Idee chiave" come sezione separata facilita la revisione e la sintesi dei concetti principali.</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La struttura del glossario e dell'indice analitico indica un'attenzione particolare agli aspetti pratici dello studio, facilitando la consultazione e l'approfondimento autonomo. La collaborazione con esperti italiani per capitoli specifici dimostra un impegno verso l'adattamento culturale e istituzionale del contenuto.</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lastRenderedPageBreak/>
        <w:t>L'equilibrio tra teoria economica standard e approcci critici (economia comportamentale, limiti della teoria tradizionale) riflette un tentativo di fornire agli studenti una formazione economica equilibrata che li prepari sia a comprendere i modelli standard sia a riconoscerne i limiti e le alternative.</w:t>
      </w:r>
    </w:p>
    <w:p w:rsidR="005D275E" w:rsidRPr="005D275E" w:rsidRDefault="005D275E" w:rsidP="005D275E">
      <w:pPr>
        <w:pStyle w:val="NormaleWeb"/>
        <w:spacing w:before="0" w:beforeAutospacing="0" w:after="0" w:afterAutospacing="0"/>
        <w:jc w:val="both"/>
        <w:rPr>
          <w:rFonts w:ascii="Segoe UI" w:hAnsi="Segoe UI" w:cs="Segoe UI"/>
          <w:sz w:val="20"/>
          <w:szCs w:val="20"/>
        </w:rPr>
      </w:pPr>
      <w:r w:rsidRPr="005D275E">
        <w:rPr>
          <w:rFonts w:ascii="Segoe UI" w:hAnsi="Segoe UI" w:cs="Segoe UI"/>
          <w:sz w:val="20"/>
          <w:szCs w:val="20"/>
        </w:rPr>
        <w:t>La particolare attenzione alle istituzioni europee (UE, UEM, BCE) e ai meccanismi di integrazione economica fornisce agli studenti europei strumenti specifici per comprendere il contesto economico in cui vivono, rendendo l'apprendimento più rilevante e concreto.</w:t>
      </w:r>
    </w:p>
    <w:p w:rsidR="00D24BFA" w:rsidRPr="005D275E" w:rsidRDefault="00D24BFA" w:rsidP="005D275E">
      <w:pPr>
        <w:spacing w:after="0" w:line="240" w:lineRule="auto"/>
        <w:jc w:val="both"/>
        <w:rPr>
          <w:rFonts w:ascii="Segoe UI" w:hAnsi="Segoe UI" w:cs="Segoe UI"/>
          <w:sz w:val="20"/>
          <w:szCs w:val="20"/>
        </w:rPr>
      </w:pPr>
    </w:p>
    <w:sectPr w:rsidR="00D24BFA" w:rsidRPr="005D275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75E"/>
    <w:rsid w:val="005D275E"/>
    <w:rsid w:val="00D24B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8614D4-FD76-411F-AA2E-7C73C2FA8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5D275E"/>
    <w:pPr>
      <w:spacing w:before="100" w:beforeAutospacing="1" w:after="100" w:afterAutospacing="1" w:line="240" w:lineRule="auto"/>
    </w:pPr>
    <w:rPr>
      <w:rFonts w:ascii="Times New Roman" w:eastAsia="Times New Roman" w:hAnsi="Times New Roman" w:cs="Times New Roman"/>
      <w:szCs w:val="24"/>
      <w:lang w:eastAsia="it-IT"/>
    </w:rPr>
  </w:style>
  <w:style w:type="character" w:styleId="Enfasigrassetto">
    <w:name w:val="Strong"/>
    <w:basedOn w:val="Carpredefinitoparagrafo"/>
    <w:uiPriority w:val="22"/>
    <w:qFormat/>
    <w:rsid w:val="005D27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29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1425</Words>
  <Characters>8129</Characters>
  <Application>Microsoft Office Word</Application>
  <DocSecurity>0</DocSecurity>
  <Lines>67</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Zanichelli</dc:creator>
  <cp:keywords/>
  <dc:description/>
  <cp:lastModifiedBy>Zanichelli</cp:lastModifiedBy>
  <cp:revision>1</cp:revision>
  <dcterms:created xsi:type="dcterms:W3CDTF">2025-09-27T07:35:00Z</dcterms:created>
  <dcterms:modified xsi:type="dcterms:W3CDTF">2025-09-27T07:37:00Z</dcterms:modified>
</cp:coreProperties>
</file>