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46084" w:rsidRPr="00346084" w:rsidRDefault="00346084" w:rsidP="00346084">
      <w:pPr>
        <w:pStyle w:val="NormaleWeb"/>
        <w:spacing w:before="0" w:beforeAutospacing="0" w:after="0" w:afterAutospacing="0"/>
        <w:jc w:val="center"/>
        <w:rPr>
          <w:rStyle w:val="Enfasigrassetto"/>
          <w:rFonts w:ascii="Segoe UI" w:hAnsi="Segoe UI" w:cs="Segoe UI"/>
          <w:bdr w:val="single" w:sz="2" w:space="0" w:color="auto" w:frame="1"/>
        </w:rPr>
      </w:pPr>
      <w:r>
        <w:rPr>
          <w:rStyle w:val="Enfasigrassetto"/>
          <w:rFonts w:ascii="Segoe UI" w:hAnsi="Segoe UI" w:cs="Segoe UI"/>
          <w:bdr w:val="single" w:sz="2" w:space="0" w:color="auto" w:frame="1"/>
        </w:rPr>
        <w:t xml:space="preserve">REPORT ANALITICO: </w:t>
      </w:r>
      <w:bookmarkStart w:id="0" w:name="_GoBack"/>
      <w:bookmarkEnd w:id="0"/>
      <w:r w:rsidRPr="00346084">
        <w:rPr>
          <w:rStyle w:val="Enfasigrassetto"/>
          <w:rFonts w:ascii="Segoe UI" w:hAnsi="Segoe UI" w:cs="Segoe UI"/>
          <w:bdr w:val="single" w:sz="2" w:space="0" w:color="auto" w:frame="1"/>
        </w:rPr>
        <w:t>L'ECONOMI</w:t>
      </w:r>
      <w:r w:rsidRPr="00346084">
        <w:rPr>
          <w:rStyle w:val="Enfasigrassetto"/>
          <w:rFonts w:ascii="Segoe UI" w:hAnsi="Segoe UI" w:cs="Segoe UI"/>
          <w:bdr w:val="single" w:sz="2" w:space="0" w:color="auto" w:frame="1"/>
        </w:rPr>
        <w:t>A - THE CORE TEAM</w:t>
      </w:r>
    </w:p>
    <w:p w:rsidR="00346084" w:rsidRPr="00346084" w:rsidRDefault="00346084" w:rsidP="00346084">
      <w:pPr>
        <w:pStyle w:val="NormaleWeb"/>
        <w:spacing w:before="0" w:beforeAutospacing="0" w:after="0" w:afterAutospacing="0"/>
        <w:jc w:val="both"/>
        <w:rPr>
          <w:rFonts w:ascii="Segoe UI" w:hAnsi="Segoe UI" w:cs="Segoe UI"/>
          <w:sz w:val="20"/>
          <w:szCs w:val="20"/>
        </w:rPr>
      </w:pP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Style w:val="Enfasigrassetto"/>
          <w:rFonts w:ascii="Segoe UI" w:hAnsi="Segoe UI" w:cs="Segoe UI"/>
          <w:sz w:val="20"/>
          <w:szCs w:val="20"/>
          <w:bdr w:val="single" w:sz="2" w:space="0" w:color="auto" w:frame="1"/>
        </w:rPr>
        <w:t>Inquadramento Generale dell'Opera</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Il manuale "The CORE Team" rappresenta un approccio rivoluzionario all'insegnamento dell'economia, caratterizzato da una filosofia pedagogica che privilegia la comprensione dei problemi economici contemporanei attraverso un'integrazione sistematica di storia economica, evidenza empirica e modellizzazione teorica. L'architettura dell'opera, organizzata in quindici capitoli che procedono dalla "rivoluzione capitalista" alle politiche macroeconomiche moderne, rivela una strategia didattica che rompe con la tradizionale divisione micro-macro per abbracciare un approccio tematico e interdisciplinare.</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La struttura del testo è costruita attorno al concetto centrale del "bastone da hockey della storia" - la rappresentazione grafica dell'accelerazione della crescita economica negli ultimi secoli - che costituisce il filo conduttore dell'intera narrazione. Questa impostazione riflette la convinzione che l'economia debba essere compresa come processo storico dinamico piuttosto che come insieme di equilibri statici.</w:t>
      </w:r>
    </w:p>
    <w:p w:rsid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L'innovazione principale risiede nell'approccio metodologico che integra sistematicamente teoria dei giochi, economia comportamentale, economia istituzionale e analisi storica fin dai primi capitoli. La presenza di capitoli dedicati alle "interazioni sociali" (Capitolo 4) e a "proprietà e potere" (Capitolo 5) indica un tentativo di superare l'individualismo metodologico tradizionale per abbracciare una visione più complessa delle relazioni economiche.</w:t>
      </w:r>
    </w:p>
    <w:p w:rsidR="00346084" w:rsidRPr="00346084" w:rsidRDefault="00346084" w:rsidP="00346084">
      <w:pPr>
        <w:pStyle w:val="NormaleWeb"/>
        <w:spacing w:before="0" w:beforeAutospacing="0" w:after="0" w:afterAutospacing="0"/>
        <w:jc w:val="both"/>
        <w:rPr>
          <w:rFonts w:ascii="Segoe UI" w:hAnsi="Segoe UI" w:cs="Segoe UI"/>
          <w:sz w:val="20"/>
          <w:szCs w:val="20"/>
        </w:rPr>
      </w:pP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Style w:val="Enfasigrassetto"/>
          <w:rFonts w:ascii="Segoe UI" w:hAnsi="Segoe UI" w:cs="Segoe UI"/>
          <w:sz w:val="20"/>
          <w:szCs w:val="20"/>
          <w:bdr w:val="single" w:sz="2" w:space="0" w:color="auto" w:frame="1"/>
        </w:rPr>
        <w:t>Scuole di Pensiero Economiche di Riferimento</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L'impostazione teorica del CORE Team è caratterizzata da un pluralismo metodologico esplicito che integra diverse tradizioni di pensiero economico senza privilegiare dogmaticamente una singola scuola. L'approccio incorpora elementi della tradizione neoclassica (ottimizzazione, equilibrio) ma li arricchisce sistematicamente con contributi post-keynesiani, istituzionalisti e comportamentali.</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Il Capitolo 1 sulla "rivoluzione capitalista" presenta un'analisi storica che riflette l'influenza della scuola delle varietà di capitalismo e dell'economia istituzionale comparata. L'enfasi su "istituzioni, governi ed economia" indica un approccio che riconosce il ruolo centrale delle istituzioni nel determinare i risultati economici.</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 xml:space="preserve">I Capitoli 4-5 sulle interazioni sociali e sul potere incorporano sistematicamente elementi della teoria dei giochi, dell'economia comportamentale e dell'economia politica. L'analisi delle "preferenze sociali" e dell'"altruismo" riflette l'influenza di autori come </w:t>
      </w:r>
      <w:proofErr w:type="spellStart"/>
      <w:r w:rsidRPr="00346084">
        <w:rPr>
          <w:rFonts w:ascii="Segoe UI" w:hAnsi="Segoe UI" w:cs="Segoe UI"/>
          <w:sz w:val="20"/>
          <w:szCs w:val="20"/>
        </w:rPr>
        <w:t>Fehr</w:t>
      </w:r>
      <w:proofErr w:type="spellEnd"/>
      <w:r w:rsidRPr="00346084">
        <w:rPr>
          <w:rFonts w:ascii="Segoe UI" w:hAnsi="Segoe UI" w:cs="Segoe UI"/>
          <w:sz w:val="20"/>
          <w:szCs w:val="20"/>
        </w:rPr>
        <w:t xml:space="preserve">, Schmidt e </w:t>
      </w:r>
      <w:proofErr w:type="spellStart"/>
      <w:r w:rsidRPr="00346084">
        <w:rPr>
          <w:rFonts w:ascii="Segoe UI" w:hAnsi="Segoe UI" w:cs="Segoe UI"/>
          <w:sz w:val="20"/>
          <w:szCs w:val="20"/>
        </w:rPr>
        <w:t>Bowles</w:t>
      </w:r>
      <w:proofErr w:type="spellEnd"/>
      <w:r w:rsidRPr="00346084">
        <w:rPr>
          <w:rFonts w:ascii="Segoe UI" w:hAnsi="Segoe UI" w:cs="Segoe UI"/>
          <w:sz w:val="20"/>
          <w:szCs w:val="20"/>
        </w:rPr>
        <w:t xml:space="preserve"> che hanno sviluppato modelli di comportamento sociale più realistici.</w:t>
      </w:r>
    </w:p>
    <w:p w:rsid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Sul fronte macroeconomico, l'approccio integra elementi keynesiani (moltiplicatore, politiche di stabilizzazione) con contributi post-keynesiani sulla moneta endogena e i mercati finanziari. Il Capitolo 15 sulla politica monetaria presenta un'analisi moderna che incorpora le lezioni della crisi finanziaria del 2008 e gli sviluppi più recenti della teoria e pratica monetaria.</w:t>
      </w:r>
    </w:p>
    <w:p w:rsidR="00346084" w:rsidRPr="00346084" w:rsidRDefault="00346084" w:rsidP="00346084">
      <w:pPr>
        <w:pStyle w:val="NormaleWeb"/>
        <w:spacing w:before="0" w:beforeAutospacing="0" w:after="0" w:afterAutospacing="0"/>
        <w:jc w:val="both"/>
        <w:rPr>
          <w:rFonts w:ascii="Segoe UI" w:hAnsi="Segoe UI" w:cs="Segoe UI"/>
          <w:sz w:val="20"/>
          <w:szCs w:val="20"/>
        </w:rPr>
      </w:pP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Style w:val="Enfasigrassetto"/>
          <w:rFonts w:ascii="Segoe UI" w:hAnsi="Segoe UI" w:cs="Segoe UI"/>
          <w:sz w:val="20"/>
          <w:szCs w:val="20"/>
          <w:bdr w:val="single" w:sz="2" w:space="0" w:color="auto" w:frame="1"/>
        </w:rPr>
        <w:t>Modelli Economici Micro e Macroeconomici</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La struttura dell'opera presenta un'integrazione innovativa tra modelli microeconomici e macroeconomici che supera la tradizionale divisione disciplinare. Il Capitolo 3 su "scarsità, lavoro e scelta" sviluppa un modello di ottimizzazione del consumatore che include sistematicamente effetti reddito e sostituzione, ma lo contestualizza storicamente attraverso l'analisi dell'evoluzione dell'orario di lavoro.</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Il Capitolo 6 sull'impresa presenta un modello sofisticato che integra problemi principale-agente, rendite da occupazione e salari di efficienza. Questo approccio va oltre la teoria neoclassica tradizionale per incorporare elementi di economia del lavoro moderna e teoria dell'organizzazione industriale.</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 xml:space="preserve">Il Capitolo 7 sull'impresa e i suoi clienti sviluppa modelli di fissazione dei prezzi che includono economie di scala, potere di mercato e innovazione. L'analisi dell'elasticità della domanda è integrata con considerazioni di politica economica, fornendo una comprensione più completa delle decisioni di </w:t>
      </w:r>
      <w:proofErr w:type="spellStart"/>
      <w:r w:rsidRPr="00346084">
        <w:rPr>
          <w:rFonts w:ascii="Segoe UI" w:hAnsi="Segoe UI" w:cs="Segoe UI"/>
          <w:sz w:val="20"/>
          <w:szCs w:val="20"/>
        </w:rPr>
        <w:t>pricing</w:t>
      </w:r>
      <w:proofErr w:type="spellEnd"/>
      <w:r w:rsidRPr="00346084">
        <w:rPr>
          <w:rFonts w:ascii="Segoe UI" w:hAnsi="Segoe UI" w:cs="Segoe UI"/>
          <w:sz w:val="20"/>
          <w:szCs w:val="20"/>
        </w:rPr>
        <w:t>.</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 xml:space="preserve">I Capitoli 8-9 presentano un'analisi integrata dei mercati concorrenziali e del mercato del lavoro che supera la tradizionale separazione tra teoria dei prezzi e macroeconomia. Il modello di "fissazione del salario e del prezzo" fornisce una </w:t>
      </w:r>
      <w:proofErr w:type="spellStart"/>
      <w:r w:rsidRPr="00346084">
        <w:rPr>
          <w:rFonts w:ascii="Segoe UI" w:hAnsi="Segoe UI" w:cs="Segoe UI"/>
          <w:sz w:val="20"/>
          <w:szCs w:val="20"/>
        </w:rPr>
        <w:t>microfondazione</w:t>
      </w:r>
      <w:proofErr w:type="spellEnd"/>
      <w:r w:rsidRPr="00346084">
        <w:rPr>
          <w:rFonts w:ascii="Segoe UI" w:hAnsi="Segoe UI" w:cs="Segoe UI"/>
          <w:sz w:val="20"/>
          <w:szCs w:val="20"/>
        </w:rPr>
        <w:t xml:space="preserve"> per l'analisi macroeconomica della disoccupazione.</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 xml:space="preserve">La sezione macroeconomica (Capitoli 13-15) presenta modelli che integrano fluttuazioni di breve periodo con tendenze di lungo periodo, utilizzando il </w:t>
      </w:r>
      <w:proofErr w:type="spellStart"/>
      <w:r w:rsidRPr="00346084">
        <w:rPr>
          <w:rFonts w:ascii="Segoe UI" w:hAnsi="Segoe UI" w:cs="Segoe UI"/>
          <w:sz w:val="20"/>
          <w:szCs w:val="20"/>
        </w:rPr>
        <w:t>framework</w:t>
      </w:r>
      <w:proofErr w:type="spellEnd"/>
      <w:r w:rsidRPr="00346084">
        <w:rPr>
          <w:rFonts w:ascii="Segoe UI" w:hAnsi="Segoe UI" w:cs="Segoe UI"/>
          <w:sz w:val="20"/>
          <w:szCs w:val="20"/>
        </w:rPr>
        <w:t xml:space="preserve"> della domanda aggregata arricchito con elementi di economia monetaria moderna e analisi delle aspettative.</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Style w:val="Enfasigrassetto"/>
          <w:rFonts w:ascii="Segoe UI" w:hAnsi="Segoe UI" w:cs="Segoe UI"/>
          <w:sz w:val="20"/>
          <w:szCs w:val="20"/>
          <w:bdr w:val="single" w:sz="2" w:space="0" w:color="auto" w:frame="1"/>
        </w:rPr>
        <w:lastRenderedPageBreak/>
        <w:t>Modelli di Crescita Economica</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La trattazione della crescita economica è integrata sistematicamente nell'intera opera, partendo dal Capitolo 1 sul "bastone da hockey della storia" e sviluppandosi attraverso il Capitolo 2 su "progresso tecnico, demografia e crescita economica". Questo approccio presenta la crescita come il fenomeno economico centrale da spiegare.</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 xml:space="preserve">Il Capitolo 2 sviluppa modelli che integrano elementi del modello di </w:t>
      </w:r>
      <w:proofErr w:type="spellStart"/>
      <w:r w:rsidRPr="00346084">
        <w:rPr>
          <w:rFonts w:ascii="Segoe UI" w:hAnsi="Segoe UI" w:cs="Segoe UI"/>
          <w:sz w:val="20"/>
          <w:szCs w:val="20"/>
        </w:rPr>
        <w:t>Solow</w:t>
      </w:r>
      <w:proofErr w:type="spellEnd"/>
      <w:r w:rsidRPr="00346084">
        <w:rPr>
          <w:rFonts w:ascii="Segoe UI" w:hAnsi="Segoe UI" w:cs="Segoe UI"/>
          <w:sz w:val="20"/>
          <w:szCs w:val="20"/>
        </w:rPr>
        <w:t xml:space="preserve"> con contributi della teoria della crescita endogena e dell'economia evolutiva. L'analisi della "trappola malthusiana" e della "fuga dalla trappola malthusiana" fornisce una prospettiva storica sui meccanismi di crescita che va oltre i modelli puramente formali.</w:t>
      </w:r>
    </w:p>
    <w:p w:rsid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L'approccio incorpora sistematicamente fattori istituzionali, demografici e tecnologici, riflettendo l'influenza della letteratura sulla crescita economica comparata e sui "</w:t>
      </w:r>
      <w:proofErr w:type="spellStart"/>
      <w:r w:rsidRPr="00346084">
        <w:rPr>
          <w:rFonts w:ascii="Segoe UI" w:hAnsi="Segoe UI" w:cs="Segoe UI"/>
          <w:sz w:val="20"/>
          <w:szCs w:val="20"/>
        </w:rPr>
        <w:t>great</w:t>
      </w:r>
      <w:proofErr w:type="spellEnd"/>
      <w:r w:rsidRPr="00346084">
        <w:rPr>
          <w:rFonts w:ascii="Segoe UI" w:hAnsi="Segoe UI" w:cs="Segoe UI"/>
          <w:sz w:val="20"/>
          <w:szCs w:val="20"/>
        </w:rPr>
        <w:t xml:space="preserve"> </w:t>
      </w:r>
      <w:proofErr w:type="spellStart"/>
      <w:r w:rsidRPr="00346084">
        <w:rPr>
          <w:rFonts w:ascii="Segoe UI" w:hAnsi="Segoe UI" w:cs="Segoe UI"/>
          <w:sz w:val="20"/>
          <w:szCs w:val="20"/>
        </w:rPr>
        <w:t>divergence</w:t>
      </w:r>
      <w:proofErr w:type="spellEnd"/>
      <w:r w:rsidRPr="00346084">
        <w:rPr>
          <w:rFonts w:ascii="Segoe UI" w:hAnsi="Segoe UI" w:cs="Segoe UI"/>
          <w:sz w:val="20"/>
          <w:szCs w:val="20"/>
        </w:rPr>
        <w:t xml:space="preserve">" </w:t>
      </w:r>
      <w:proofErr w:type="spellStart"/>
      <w:r w:rsidRPr="00346084">
        <w:rPr>
          <w:rFonts w:ascii="Segoe UI" w:hAnsi="Segoe UI" w:cs="Segoe UI"/>
          <w:sz w:val="20"/>
          <w:szCs w:val="20"/>
        </w:rPr>
        <w:t>studies</w:t>
      </w:r>
      <w:proofErr w:type="spellEnd"/>
      <w:r w:rsidRPr="00346084">
        <w:rPr>
          <w:rFonts w:ascii="Segoe UI" w:hAnsi="Segoe UI" w:cs="Segoe UI"/>
          <w:sz w:val="20"/>
          <w:szCs w:val="20"/>
        </w:rPr>
        <w:t>. La discussione delle "varietà di capitalismo" (Capitolo 1.10) fornisce una prospettiva comparativa sui diversi modelli di crescita.</w:t>
      </w:r>
    </w:p>
    <w:p w:rsidR="00346084" w:rsidRPr="00346084" w:rsidRDefault="00346084" w:rsidP="00346084">
      <w:pPr>
        <w:pStyle w:val="NormaleWeb"/>
        <w:spacing w:before="0" w:beforeAutospacing="0" w:after="0" w:afterAutospacing="0"/>
        <w:jc w:val="both"/>
        <w:rPr>
          <w:rFonts w:ascii="Segoe UI" w:hAnsi="Segoe UI" w:cs="Segoe UI"/>
          <w:sz w:val="20"/>
          <w:szCs w:val="20"/>
        </w:rPr>
      </w:pP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Style w:val="Enfasigrassetto"/>
          <w:rFonts w:ascii="Segoe UI" w:hAnsi="Segoe UI" w:cs="Segoe UI"/>
          <w:sz w:val="20"/>
          <w:szCs w:val="20"/>
          <w:bdr w:val="single" w:sz="2" w:space="0" w:color="auto" w:frame="1"/>
        </w:rPr>
        <w:t>Trattazione Temporale: Breve e Lungo Periodo</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L'approccio temporale del CORE Team è particolarmente innovativo, integrando sistematicamente prospettive storiche di lungo periodo con analisi di breve periodo. Il Capitolo 11 su "rendite, prezzi e dinamica del mercato" presenta esplicitamente la distinzione tra "equilibri di breve e di lungo periodo" nel contesto della dinamica dei prezzi.</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L'analisi temporale è arricchita dall'integrazione di elementi di economia finanziaria (bolle speculative, valutazione degli investimenti) che forniscono una comprensione più completa dei meccanismi di aggiustamento temporale. Il Capitolo 10 sul mercato del credito presenta modelli intertemporali di consumo e investimento che collegano decisioni individuali e dinamiche aggregate.</w:t>
      </w:r>
    </w:p>
    <w:p w:rsid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La sezione macroeconomica integra fluttuazioni cicliche (Capitolo 13) con politiche di stabilizzazione (Capitoli 14-15), mostrando come le politiche di breve periodo interagiscano con tendenze di lungo periodo. Questa integrazione supera la tradizionale dicotomia tra analisi di breve e lungo periodo.</w:t>
      </w:r>
    </w:p>
    <w:p w:rsidR="00346084" w:rsidRPr="00346084" w:rsidRDefault="00346084" w:rsidP="00346084">
      <w:pPr>
        <w:pStyle w:val="NormaleWeb"/>
        <w:spacing w:before="0" w:beforeAutospacing="0" w:after="0" w:afterAutospacing="0"/>
        <w:jc w:val="both"/>
        <w:rPr>
          <w:rFonts w:ascii="Segoe UI" w:hAnsi="Segoe UI" w:cs="Segoe UI"/>
          <w:sz w:val="20"/>
          <w:szCs w:val="20"/>
        </w:rPr>
      </w:pP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Style w:val="Enfasigrassetto"/>
          <w:rFonts w:ascii="Segoe UI" w:hAnsi="Segoe UI" w:cs="Segoe UI"/>
          <w:sz w:val="20"/>
          <w:szCs w:val="20"/>
          <w:bdr w:val="single" w:sz="2" w:space="0" w:color="auto" w:frame="1"/>
        </w:rPr>
        <w:t>Argomenti Non Standard e Innovazioni Didattiche</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Il manuale presenta numerose innovazioni che lo rendono unico nel panorama dei testi economici. Il Capitolo 4 sulle "interazioni sociali" introduce sistematicamente teoria dei giochi, economia comportamentale e esperimenti economici fin dalle prime fasi del corso. Questa scelta riflette il riconoscimento che le interazioni strategiche sono centrali per comprendere i fenomeni economici.</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Il Capitolo 5 su "proprietà e potere" rappresenta un'innovazione particolarmente significativa, presentando un'analisi esplicita delle relazioni di potere nell'economia. L'utilizzo del modello "Angela e Bruno" per illustrare concetti di efficienza paretiana, equità e distribuzione del surplus fornisce una base concettuale per comprendere i conflitti distributivi.</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 xml:space="preserve">Il Capitolo 6 sull'organizzazione dell'impresa integra sistematicamente problemi principale-agente, contratti incompleti e salari di efficienza. L'analisi delle "rendite da occupazione" fornisce una </w:t>
      </w:r>
      <w:proofErr w:type="spellStart"/>
      <w:r w:rsidRPr="00346084">
        <w:rPr>
          <w:rFonts w:ascii="Segoe UI" w:hAnsi="Segoe UI" w:cs="Segoe UI"/>
          <w:sz w:val="20"/>
          <w:szCs w:val="20"/>
        </w:rPr>
        <w:t>microfondazione</w:t>
      </w:r>
      <w:proofErr w:type="spellEnd"/>
      <w:r w:rsidRPr="00346084">
        <w:rPr>
          <w:rFonts w:ascii="Segoe UI" w:hAnsi="Segoe UI" w:cs="Segoe UI"/>
          <w:sz w:val="20"/>
          <w:szCs w:val="20"/>
        </w:rPr>
        <w:t xml:space="preserve"> per comprendere la disoccupazione involontaria e le politiche del mercato del lavoro.</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Il Capitolo 10 sul sistema bancario e monetario presenta un'analisi moderna che integra teoria monetaria post-keynesiana con elementi di finanza comportamentale. L'analisi delle "bolle finanziarie" (Capitolo 11) incorpora elementi di finanza comportamentale raramente presenti in testi introduttivi.</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Il Capitolo 12 sui fallimenti del mercato presenta una trattazione particolarmente completa che include non solo esternalità e beni pubblici ma anche "mercati mancanti", "contratti incompleti" e problemi di informazione asimmetrica. L'integrazione di questi temi con l'analisi distributiva fornisce una prospettiva più completa sui limiti del mercato.</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L'approccio pedagogico è caratterizzato dall'uso sistematico di dati empirici, esempi storici e evidenze sperimentali. Ogni capitolo integra teoria, evidenza empirica e applicazioni di policy, fornendo agli studenti una comprensione più completa e realistica dei fenomeni economici.</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La struttura narrativa, che procede dalla rivoluzione capitalista attraverso l'analisi microeconomica fino alle politiche macroeconomiche contemporanee, riflette un tentativo di fornire una visione coerente e integrata dell'economia come sistema complesso e dinamico.</w:t>
      </w:r>
    </w:p>
    <w:p w:rsidR="00346084" w:rsidRPr="00346084" w:rsidRDefault="00346084" w:rsidP="00346084">
      <w:pPr>
        <w:pStyle w:val="NormaleWeb"/>
        <w:spacing w:before="0" w:beforeAutospacing="0" w:after="0" w:afterAutospacing="0"/>
        <w:jc w:val="both"/>
        <w:rPr>
          <w:rFonts w:ascii="Segoe UI" w:hAnsi="Segoe UI" w:cs="Segoe UI"/>
          <w:sz w:val="20"/>
          <w:szCs w:val="20"/>
        </w:rPr>
      </w:pPr>
      <w:r w:rsidRPr="00346084">
        <w:rPr>
          <w:rFonts w:ascii="Segoe UI" w:hAnsi="Segoe UI" w:cs="Segoe UI"/>
          <w:sz w:val="20"/>
          <w:szCs w:val="20"/>
        </w:rPr>
        <w:t xml:space="preserve">L'integrazione sistematica di prospettive interdisciplinari (storia, sociologia, psicologia, scienze politiche) rappresenta un tentativo di superare i confini disciplinari tradizionali per fornire una comprensione più </w:t>
      </w:r>
      <w:r w:rsidRPr="00346084">
        <w:rPr>
          <w:rFonts w:ascii="Segoe UI" w:hAnsi="Segoe UI" w:cs="Segoe UI"/>
          <w:sz w:val="20"/>
          <w:szCs w:val="20"/>
        </w:rPr>
        <w:lastRenderedPageBreak/>
        <w:t>completa dei fenomeni economici. Questo approccio prepara gli studenti a comprendere l'economia come scienza sociale integrata piuttosto che come disciplina isolata.</w:t>
      </w:r>
    </w:p>
    <w:p w:rsidR="00D24BFA" w:rsidRPr="00346084" w:rsidRDefault="00346084" w:rsidP="00346084">
      <w:pPr>
        <w:pStyle w:val="NormaleWeb"/>
        <w:spacing w:before="0" w:beforeAutospacing="0" w:after="0" w:afterAutospacing="0"/>
        <w:jc w:val="both"/>
        <w:rPr>
          <w:rFonts w:ascii="Arial" w:hAnsi="Arial" w:cs="Arial"/>
          <w:color w:val="FFFFFF"/>
        </w:rPr>
      </w:pPr>
      <w:r w:rsidRPr="00346084">
        <w:rPr>
          <w:rFonts w:ascii="Segoe UI" w:hAnsi="Segoe UI" w:cs="Segoe UI"/>
          <w:sz w:val="20"/>
          <w:szCs w:val="20"/>
        </w:rPr>
        <w:t>L'attenzione particolare ai problemi contemporanei (disuguaglianza, sostenibilità ambientale, crisi finanziarie, politiche monetarie non convenzionali) rende il testo particolarmente rilevan</w:t>
      </w:r>
      <w:r>
        <w:rPr>
          <w:rFonts w:ascii="Segoe UI" w:hAnsi="Segoe UI" w:cs="Segoe UI"/>
          <w:sz w:val="20"/>
          <w:szCs w:val="20"/>
        </w:rPr>
        <w:t xml:space="preserve">te per comprendere le sfide economiche del XXI </w:t>
      </w:r>
      <w:proofErr w:type="spellStart"/>
      <w:r>
        <w:rPr>
          <w:rFonts w:ascii="Segoe UI" w:hAnsi="Segoe UI" w:cs="Segoe UI"/>
          <w:sz w:val="20"/>
          <w:szCs w:val="20"/>
        </w:rPr>
        <w:t>secolo</w:t>
      </w:r>
      <w:r>
        <w:rPr>
          <w:rFonts w:ascii="Arial" w:hAnsi="Arial" w:cs="Arial"/>
          <w:color w:val="FFFFFF"/>
        </w:rPr>
        <w:t>iche</w:t>
      </w:r>
      <w:proofErr w:type="spellEnd"/>
      <w:r>
        <w:rPr>
          <w:rFonts w:ascii="Arial" w:hAnsi="Arial" w:cs="Arial"/>
          <w:color w:val="FFFFFF"/>
        </w:rPr>
        <w:t xml:space="preserve"> del XXI secolo.</w:t>
      </w:r>
    </w:p>
    <w:sectPr w:rsidR="00D24BFA" w:rsidRPr="0034608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odoni MT">
    <w:panose1 w:val="02070603080606020203"/>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6"/>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6084"/>
    <w:rsid w:val="00346084"/>
    <w:rsid w:val="00D24BF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5C2DF14-5559-4D7A-9405-61CA7204F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odoni MT" w:eastAsiaTheme="minorHAnsi" w:hAnsi="Bodoni MT" w:cstheme="minorBidi"/>
        <w:sz w:val="24"/>
        <w:szCs w:val="22"/>
        <w:lang w:val="it-I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unhideWhenUsed/>
    <w:rsid w:val="00346084"/>
    <w:pPr>
      <w:spacing w:before="100" w:beforeAutospacing="1" w:after="100" w:afterAutospacing="1" w:line="240" w:lineRule="auto"/>
    </w:pPr>
    <w:rPr>
      <w:rFonts w:ascii="Times New Roman" w:eastAsia="Times New Roman" w:hAnsi="Times New Roman" w:cs="Times New Roman"/>
      <w:szCs w:val="24"/>
      <w:lang w:eastAsia="it-IT"/>
    </w:rPr>
  </w:style>
  <w:style w:type="character" w:styleId="Enfasigrassetto">
    <w:name w:val="Strong"/>
    <w:basedOn w:val="Carpredefinitoparagrafo"/>
    <w:uiPriority w:val="22"/>
    <w:qFormat/>
    <w:rsid w:val="0034608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6207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1459</Words>
  <Characters>8319</Characters>
  <Application>Microsoft Office Word</Application>
  <DocSecurity>0</DocSecurity>
  <Lines>69</Lines>
  <Paragraphs>19</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9759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Zanichelli</dc:creator>
  <cp:keywords/>
  <dc:description/>
  <cp:lastModifiedBy>Zanichelli</cp:lastModifiedBy>
  <cp:revision>1</cp:revision>
  <dcterms:created xsi:type="dcterms:W3CDTF">2025-09-27T07:39:00Z</dcterms:created>
  <dcterms:modified xsi:type="dcterms:W3CDTF">2025-09-27T07:41:00Z</dcterms:modified>
</cp:coreProperties>
</file>