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Segoe UI" w:hAnsi="Segoe UI" w:eastAsia="Segoe UI"/>
          <w:b/>
          <w:color w:val="0F172A"/>
          <w:sz w:val="34"/>
        </w:rPr>
        <w:t>Sam Okafor</w:t>
      </w:r>
    </w:p>
    <w:p>
      <w:pPr>
        <w:spacing w:after="40"/>
        <w:jc w:val="center"/>
      </w:pPr>
      <w:r>
        <w:rPr>
          <w:rFonts w:ascii="Segoe UI" w:hAnsi="Segoe UI" w:eastAsia="Segoe UI"/>
          <w:b/>
          <w:i w:val="0"/>
          <w:color w:val="115E59"/>
          <w:sz w:val="22"/>
        </w:rPr>
        <w:t>Senior Product Manager, Data</w:t>
      </w:r>
    </w:p>
    <w:p>
      <w:pPr>
        <w:spacing w:after="120"/>
        <w:jc w:val="center"/>
        <w:pBdr>
          <w:bottom w:val="single" w:sz="18" w:space="1" w:color="0F766E"/>
        </w:pBdr>
      </w:pPr>
      <w:r>
        <w:rPr>
          <w:rFonts w:ascii="Segoe UI" w:hAnsi="Segoe UI" w:eastAsia="Segoe UI"/>
          <w:color w:val="475569"/>
          <w:sz w:val="18"/>
        </w:rPr>
        <w:t>Leeds, UK</w:t>
      </w:r>
      <w:r>
        <w:rPr>
          <w:rFonts w:ascii="Segoe UI" w:hAnsi="Segoe UI" w:eastAsia="Segoe UI"/>
          <w:color w:val="94A3B8"/>
          <w:sz w:val="18"/>
        </w:rPr>
        <w:t xml:space="preserve">  |  </w:t>
      </w:r>
      <w:hyperlink r:id="rId9">
        <w:r>
          <w:rPr>
            <w:rFonts w:ascii="Segoe UI" w:hAnsi="Segoe UI"/>
            <w:sz w:val="18"/>
            <w:color w:val="0F766E"/>
          </w:rPr>
          <w:t xml:space="preserve">sam.okafor@example.com</w:t>
        </w:r>
      </w:hyperlink>
      <w:r>
        <w:rPr>
          <w:rFonts w:ascii="Segoe UI" w:hAnsi="Segoe UI" w:eastAsia="Segoe UI"/>
          <w:color w:val="94A3B8"/>
          <w:sz w:val="18"/>
        </w:rPr>
        <w:t xml:space="preserve">  |  </w:t>
      </w:r>
      <w:hyperlink r:id="rId10">
        <w:r>
          <w:rPr>
            <w:rFonts w:ascii="Segoe UI" w:hAnsi="Segoe UI"/>
            <w:sz w:val="18"/>
            <w:color w:val="0F766E"/>
          </w:rPr>
          <w:t xml:space="preserve">linkedin.com/in/sam-okafor-example</w:t>
        </w:r>
      </w:hyperlink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Own the roadmap for the new data products line</w:t>
      </w:r>
      <w:r>
        <w:rPr>
          <w:rFonts w:ascii="Segoe UI" w:hAnsi="Segoe UI" w:eastAsia="Segoe UI"/>
          <w:b w:val="0"/>
          <w:i w:val="0"/>
          <w:sz w:val="20"/>
        </w:rPr>
        <w:t>: ✓ I own the roadmap for Tidewater Insights at Larkspur Systems, taken from discovery to production in three NHS trusts with 1,200 weekly active clinicians.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5+ years of product management, 2+ in data products</w:t>
      </w:r>
      <w:r>
        <w:rPr>
          <w:rFonts w:ascii="Segoe UI" w:hAnsi="Segoe UI" w:eastAsia="Segoe UI"/>
          <w:b w:val="0"/>
          <w:i w:val="0"/>
          <w:sz w:val="20"/>
        </w:rPr>
        <w:t>: ✓ Product manager since 2019, all of it on data products: forecasting at Tidewater Freight, clinical reporting at Larkspur.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Shipping into hospitals or a regulated environment</w:t>
      </w:r>
      <w:r>
        <w:rPr>
          <w:rFonts w:ascii="Segoe UI" w:hAnsi="Segoe UI" w:eastAsia="Segoe UI"/>
          <w:b w:val="0"/>
          <w:i w:val="0"/>
          <w:sz w:val="20"/>
        </w:rPr>
        <w:t>: ✓ Three NHS trusts live, with information governance reviews passed on first submission in each.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Work directly with data engineers and data scientists</w:t>
      </w:r>
      <w:r>
        <w:rPr>
          <w:rFonts w:ascii="Segoe UI" w:hAnsi="Segoe UI" w:eastAsia="Segoe UI"/>
          <w:b w:val="0"/>
          <w:i w:val="0"/>
          <w:sz w:val="20"/>
        </w:rPr>
        <w:t>: ✓ I specified the telemetry pipeline behind Tidewater Freight's forecasting model and the 40-feed data quality layer at Larkspur.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Define and track adoption and outcome metrics</w:t>
      </w:r>
      <w:r>
        <w:rPr>
          <w:rFonts w:ascii="Segoe UI" w:hAnsi="Segoe UI" w:eastAsia="Segoe UI"/>
          <w:b w:val="0"/>
          <w:i w:val="0"/>
          <w:sz w:val="20"/>
        </w:rPr>
        <w:t>: ✓ Activation, weekly active use and time-to-insight are reviewed weekly; median report turnaround for ward managers went from 6 days to same day.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Stakeholder management with clinical and operational leaders</w:t>
      </w:r>
      <w:r>
        <w:rPr>
          <w:rFonts w:ascii="Segoe UI" w:hAnsi="Segoe UI" w:eastAsia="Segoe UI"/>
          <w:b w:val="0"/>
          <w:i w:val="0"/>
          <w:sz w:val="20"/>
        </w:rPr>
        <w:t>: ✓ Ran prototype-based discovery with ward managers across three trusts, validating 5 report types and killing 3 before build.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SQL and data models</w:t>
      </w:r>
      <w:r>
        <w:rPr>
          <w:rFonts w:ascii="Segoe UI" w:hAnsi="Segoe UI" w:eastAsia="Segoe UI"/>
          <w:b w:val="0"/>
          <w:i w:val="0"/>
          <w:sz w:val="20"/>
        </w:rPr>
        <w:t>: ✓ I write the first SQL on every discovery and review schema changes with the data engineers.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NHS procurement (nice to have)</w:t>
      </w:r>
      <w:r>
        <w:rPr>
          <w:rFonts w:ascii="Segoe UI" w:hAnsi="Segoe UI" w:eastAsia="Segoe UI"/>
          <w:b w:val="0"/>
          <w:i w:val="0"/>
          <w:sz w:val="20"/>
        </w:rPr>
        <w:t>: ✓ Led three NHS framework bids at Larkspur, winning two.</w:t>
      </w:r>
    </w:p>
    <w:p>
      <w:pPr>
        <w:pStyle w:val="ListBullet"/>
      </w:pPr>
      <w:r>
        <w:rPr>
          <w:rFonts w:ascii="Segoe UI" w:hAnsi="Segoe UI" w:eastAsia="Segoe UI"/>
          <w:b/>
          <w:i w:val="0"/>
          <w:sz w:val="20"/>
        </w:rPr>
        <w:t>Forecasting features (nice to have)</w:t>
      </w:r>
      <w:r>
        <w:rPr>
          <w:rFonts w:ascii="Segoe UI" w:hAnsi="Segoe UI" w:eastAsia="Segoe UI"/>
          <w:b w:val="0"/>
          <w:i w:val="0"/>
          <w:sz w:val="20"/>
        </w:rPr>
        <w:t>: ✓ Shipped a demand-forecasting feature that lifted fleet utilisation by 11%, the same shape of problem as bed-management forecasting.</w:t>
      </w:r>
    </w:p>
    <w:sectPr w:rsidR="00FC693F" w:rsidRPr="0006063C" w:rsidSect="00034616">
      <w:pgSz w:w="11906" w:h="16838"/>
      <w:pgMar w:top="907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 w:before="0"/>
    </w:pPr>
    <w:rPr>
      <w:rFonts w:ascii="Segoe UI" w:hAnsi="Segoe UI" w:eastAsia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00" w:lineRule="auto"/>
      <w:contextualSpacing/>
    </w:pPr>
    <w:rPr>
      <w:rFonts w:ascii="Segoe UI" w:hAnsi="Segoe U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m.okafor@example.com" TargetMode="External"/><Relationship Id="rId10" Type="http://schemas.openxmlformats.org/officeDocument/2006/relationships/hyperlink" Target="https://linkedin.com/in/sam-okafor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