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FD4" w:rsidRPr="00B2066A" w:rsidRDefault="00CD7FD4" w:rsidP="00CD7FD4">
      <w:pPr>
        <w:rPr>
          <w:rFonts w:ascii="黑体" w:eastAsia="黑体" w:hAnsi="黑体"/>
          <w:sz w:val="28"/>
        </w:rPr>
      </w:pPr>
      <w:r>
        <w:rPr>
          <w:rFonts w:ascii="黑体" w:eastAsia="黑体" w:hAnsi="黑体"/>
          <w:sz w:val="28"/>
        </w:rPr>
        <w:t>TCM</w:t>
      </w:r>
      <w:r>
        <w:rPr>
          <w:rFonts w:ascii="黑体" w:eastAsia="黑体" w:hAnsi="黑体" w:hint="eastAsia"/>
          <w:sz w:val="28"/>
        </w:rPr>
        <w:t>范式</w:t>
      </w:r>
      <w:r w:rsidR="00716638">
        <w:rPr>
          <w:rFonts w:ascii="黑体" w:eastAsia="黑体" w:hAnsi="黑体" w:hint="eastAsia"/>
          <w:sz w:val="28"/>
        </w:rPr>
        <w:t>与组件化开发</w:t>
      </w:r>
      <w:bookmarkStart w:id="0" w:name="_GoBack"/>
      <w:bookmarkEnd w:id="0"/>
    </w:p>
    <w:p w:rsidR="00CD7FD4" w:rsidRDefault="00CD7FD4" w:rsidP="00CD7FD4">
      <w:pPr>
        <w:rPr>
          <w:sz w:val="23"/>
          <w:szCs w:val="23"/>
        </w:rPr>
      </w:pPr>
    </w:p>
    <w:p w:rsidR="00CD7FD4" w:rsidRDefault="00CD7FD4" w:rsidP="00CD7FD4">
      <w:r>
        <w:rPr>
          <w:sz w:val="23"/>
          <w:szCs w:val="23"/>
        </w:rPr>
        <w:t>版本：</w:t>
      </w:r>
      <w:r>
        <w:rPr>
          <w:rFonts w:cs="Calibri"/>
          <w:sz w:val="23"/>
          <w:szCs w:val="23"/>
        </w:rPr>
        <w:t>2013/</w:t>
      </w:r>
      <w:r>
        <w:rPr>
          <w:rFonts w:cs="Calibri" w:hint="eastAsia"/>
          <w:sz w:val="23"/>
          <w:szCs w:val="23"/>
        </w:rPr>
        <w:t>1</w:t>
      </w:r>
      <w:r>
        <w:rPr>
          <w:rFonts w:cs="Calibri"/>
          <w:sz w:val="23"/>
          <w:szCs w:val="23"/>
        </w:rPr>
        <w:t>2/8</w:t>
      </w:r>
      <w:r>
        <w:rPr>
          <w:sz w:val="23"/>
          <w:szCs w:val="23"/>
        </w:rPr>
        <w:t>（</w:t>
      </w:r>
      <w:r>
        <w:rPr>
          <w:rFonts w:hint="eastAsia"/>
          <w:sz w:val="23"/>
          <w:szCs w:val="23"/>
        </w:rPr>
        <w:t>重制</w:t>
      </w:r>
      <w:r>
        <w:rPr>
          <w:sz w:val="23"/>
          <w:szCs w:val="23"/>
        </w:rPr>
        <w:t>0</w:t>
      </w:r>
      <w:r>
        <w:rPr>
          <w:sz w:val="23"/>
          <w:szCs w:val="23"/>
        </w:rPr>
        <w:t>修订</w:t>
      </w:r>
      <w:r>
        <w:rPr>
          <w:rFonts w:cs="Calibri" w:hint="eastAsia"/>
          <w:sz w:val="23"/>
          <w:szCs w:val="23"/>
        </w:rPr>
        <w:t>0</w:t>
      </w:r>
      <w:r>
        <w:rPr>
          <w:sz w:val="23"/>
          <w:szCs w:val="23"/>
        </w:rPr>
        <w:t>）</w:t>
      </w:r>
    </w:p>
    <w:p w:rsidR="00CD7FD4" w:rsidRPr="00CD7FD4" w:rsidRDefault="00CD7FD4" w:rsidP="00CD7FD4">
      <w:pPr>
        <w:pStyle w:val="Default"/>
      </w:pPr>
    </w:p>
    <w:p w:rsidR="00CD7FD4" w:rsidRPr="00F95FC6" w:rsidRDefault="00CD7FD4" w:rsidP="00CD7FD4">
      <w:pPr>
        <w:pStyle w:val="Default"/>
        <w:rPr>
          <w:i/>
          <w:sz w:val="23"/>
          <w:szCs w:val="23"/>
        </w:rPr>
      </w:pPr>
      <w:r w:rsidRPr="00F95FC6">
        <w:rPr>
          <w:i/>
          <w:sz w:val="23"/>
          <w:szCs w:val="23"/>
        </w:rPr>
        <w:t>此</w:t>
      </w:r>
      <w:r>
        <w:rPr>
          <w:rFonts w:hint="eastAsia"/>
          <w:i/>
          <w:sz w:val="23"/>
          <w:szCs w:val="23"/>
        </w:rPr>
        <w:t>文档介绍</w:t>
      </w:r>
      <w:r>
        <w:rPr>
          <w:rFonts w:ascii="Calibri" w:hAnsi="Calibri" w:cs="Calibri" w:hint="eastAsia"/>
          <w:i/>
          <w:iCs/>
          <w:sz w:val="23"/>
          <w:szCs w:val="23"/>
        </w:rPr>
        <w:t>T</w:t>
      </w:r>
      <w:r>
        <w:rPr>
          <w:rFonts w:ascii="Calibri" w:hAnsi="Calibri" w:cs="Calibri"/>
          <w:i/>
          <w:iCs/>
          <w:sz w:val="23"/>
          <w:szCs w:val="23"/>
        </w:rPr>
        <w:t>CM</w:t>
      </w:r>
      <w:r>
        <w:rPr>
          <w:rFonts w:hint="eastAsia"/>
          <w:i/>
          <w:sz w:val="23"/>
          <w:szCs w:val="23"/>
        </w:rPr>
        <w:t>范式</w:t>
      </w:r>
      <w:r w:rsidRPr="00F95FC6">
        <w:rPr>
          <w:i/>
          <w:sz w:val="23"/>
          <w:szCs w:val="23"/>
        </w:rPr>
        <w:t>。</w:t>
      </w:r>
    </w:p>
    <w:p w:rsidR="00CD7FD4" w:rsidRDefault="00CD7FD4" w:rsidP="00CD7FD4">
      <w:pPr>
        <w:spacing w:before="100" w:beforeAutospacing="1" w:after="100" w:afterAutospacing="1"/>
        <w:rPr>
          <w:sz w:val="23"/>
          <w:szCs w:val="23"/>
        </w:rPr>
        <w:sectPr w:rsidR="00CD7FD4" w:rsidSect="00BB269C">
          <w:footerReference w:type="default" r:id="rId7"/>
          <w:pgSz w:w="11906" w:h="16838"/>
          <w:pgMar w:top="1440" w:right="1800" w:bottom="1440" w:left="1800" w:header="851" w:footer="992" w:gutter="0"/>
          <w:cols w:space="425"/>
          <w:docGrid w:type="lines" w:linePitch="312"/>
        </w:sectPr>
      </w:pPr>
    </w:p>
    <w:p w:rsidR="008C444C" w:rsidRDefault="00CD7FD4">
      <w:r>
        <w:rPr>
          <w:rFonts w:hint="eastAsia"/>
        </w:rPr>
        <w:lastRenderedPageBreak/>
        <w:t>TCM</w:t>
      </w:r>
      <w:r>
        <w:rPr>
          <w:rFonts w:hint="eastAsia"/>
        </w:rPr>
        <w:t>范式是一系列软件开发的规则集合。</w:t>
      </w:r>
    </w:p>
    <w:p w:rsidR="00CD7FD4" w:rsidRDefault="00CD7FD4"/>
    <w:p w:rsidR="00CD7FD4" w:rsidRDefault="00CD7FD4" w:rsidP="00CD7FD4">
      <w:pPr>
        <w:pStyle w:val="a4"/>
        <w:numPr>
          <w:ilvl w:val="0"/>
          <w:numId w:val="1"/>
        </w:numPr>
        <w:ind w:firstLineChars="0"/>
      </w:pPr>
      <w:r>
        <w:rPr>
          <w:rFonts w:hint="eastAsia"/>
        </w:rPr>
        <w:t>目标软件产品包含两部分：主应用程序框架和业务组件集。</w:t>
      </w:r>
    </w:p>
    <w:p w:rsidR="00CD7FD4" w:rsidRDefault="00CD7FD4" w:rsidP="00CD7FD4">
      <w:pPr>
        <w:pStyle w:val="a4"/>
        <w:numPr>
          <w:ilvl w:val="0"/>
          <w:numId w:val="1"/>
        </w:numPr>
        <w:ind w:firstLineChars="0"/>
      </w:pPr>
      <w:r>
        <w:rPr>
          <w:rFonts w:hint="eastAsia"/>
        </w:rPr>
        <w:t>业务组件集和主应用程序之间的通信逻辑应当独立于主应用程序框架和业务组件集。</w:t>
      </w:r>
    </w:p>
    <w:p w:rsidR="00CD7FD4" w:rsidRDefault="00CD7FD4" w:rsidP="00CD7FD4">
      <w:pPr>
        <w:pStyle w:val="a4"/>
        <w:numPr>
          <w:ilvl w:val="0"/>
          <w:numId w:val="1"/>
        </w:numPr>
        <w:ind w:firstLineChars="0"/>
      </w:pPr>
      <w:r>
        <w:rPr>
          <w:rFonts w:hint="eastAsia"/>
        </w:rPr>
        <w:t>无论开发或运行，业务组件集与主应用程序应当互相独立，不互相影响。</w:t>
      </w:r>
    </w:p>
    <w:p w:rsidR="00CD7FD4" w:rsidRDefault="00CD7FD4" w:rsidP="00CD7FD4">
      <w:pPr>
        <w:pStyle w:val="a4"/>
        <w:numPr>
          <w:ilvl w:val="0"/>
          <w:numId w:val="1"/>
        </w:numPr>
        <w:ind w:firstLineChars="0"/>
      </w:pPr>
      <w:r>
        <w:rPr>
          <w:rFonts w:hint="eastAsia"/>
        </w:rPr>
        <w:t>业务组件集的组件之间也应当互相独立。</w:t>
      </w:r>
    </w:p>
    <w:p w:rsidR="00CD7FD4" w:rsidRDefault="00CD7FD4" w:rsidP="00CD7FD4">
      <w:pPr>
        <w:pStyle w:val="a4"/>
        <w:numPr>
          <w:ilvl w:val="0"/>
          <w:numId w:val="1"/>
        </w:numPr>
        <w:ind w:firstLineChars="0"/>
      </w:pPr>
      <w:r>
        <w:rPr>
          <w:rFonts w:hint="eastAsia"/>
        </w:rPr>
        <w:t>组件与组件的通信通过中间层基于消息机制实现。</w:t>
      </w:r>
    </w:p>
    <w:p w:rsidR="00CD7FD4" w:rsidRDefault="00CD7FD4" w:rsidP="00CD7FD4">
      <w:pPr>
        <w:pStyle w:val="a4"/>
        <w:numPr>
          <w:ilvl w:val="0"/>
          <w:numId w:val="1"/>
        </w:numPr>
        <w:ind w:firstLineChars="0"/>
      </w:pPr>
      <w:r>
        <w:rPr>
          <w:rFonts w:hint="eastAsia"/>
        </w:rPr>
        <w:t>组件与平台可以分别测试。</w:t>
      </w:r>
    </w:p>
    <w:p w:rsidR="00CD7FD4" w:rsidRDefault="00CD7FD4" w:rsidP="00CD7FD4">
      <w:pPr>
        <w:pStyle w:val="a4"/>
        <w:numPr>
          <w:ilvl w:val="0"/>
          <w:numId w:val="1"/>
        </w:numPr>
        <w:ind w:firstLineChars="0"/>
      </w:pPr>
      <w:r>
        <w:rPr>
          <w:rFonts w:hint="eastAsia"/>
        </w:rPr>
        <w:t>组件脱离平台可执行。</w:t>
      </w:r>
    </w:p>
    <w:p w:rsidR="00CD7FD4" w:rsidRDefault="00CD7FD4" w:rsidP="00CD7FD4">
      <w:pPr>
        <w:pStyle w:val="a4"/>
        <w:numPr>
          <w:ilvl w:val="0"/>
          <w:numId w:val="1"/>
        </w:numPr>
        <w:ind w:firstLineChars="0"/>
      </w:pPr>
      <w:r>
        <w:rPr>
          <w:rFonts w:hint="eastAsia"/>
        </w:rPr>
        <w:t>组件可以通过</w:t>
      </w:r>
      <w:r>
        <w:rPr>
          <w:rFonts w:hint="eastAsia"/>
        </w:rPr>
        <w:t>TCM</w:t>
      </w:r>
      <w:r>
        <w:rPr>
          <w:rFonts w:hint="eastAsia"/>
        </w:rPr>
        <w:t>流程图描述并构建独立的业务应用。</w:t>
      </w:r>
    </w:p>
    <w:p w:rsidR="00CD7FD4" w:rsidRDefault="00CD7FD4">
      <w:pPr>
        <w:spacing w:line="240" w:lineRule="auto"/>
      </w:pPr>
      <w:r>
        <w:br w:type="page"/>
      </w:r>
    </w:p>
    <w:p w:rsidR="00CD7FD4" w:rsidRPr="00582A94" w:rsidRDefault="00CD7FD4" w:rsidP="00CD7FD4">
      <w:pPr>
        <w:pStyle w:val="2"/>
        <w:spacing w:after="156"/>
        <w:ind w:left="420" w:hanging="420"/>
      </w:pPr>
      <w:bookmarkStart w:id="1" w:name="_Toc371520706"/>
      <w:r>
        <w:rPr>
          <w:rFonts w:hint="eastAsia"/>
        </w:rPr>
        <w:lastRenderedPageBreak/>
        <w:t>TCM</w:t>
      </w:r>
      <w:r>
        <w:rPr>
          <w:rFonts w:hint="eastAsia"/>
        </w:rPr>
        <w:t>设计</w:t>
      </w:r>
      <w:bookmarkEnd w:id="1"/>
    </w:p>
    <w:p w:rsidR="00CD7FD4" w:rsidRDefault="00CD7FD4" w:rsidP="00CD7FD4">
      <w:r w:rsidRPr="00F22A82">
        <w:rPr>
          <w:rFonts w:cs="Calibri"/>
        </w:rPr>
        <w:t>TCM</w:t>
      </w:r>
      <w:r w:rsidRPr="00F22A82">
        <w:t>是</w:t>
      </w:r>
      <w:r>
        <w:rPr>
          <w:rFonts w:hint="eastAsia"/>
        </w:rPr>
        <w:t>一种</w:t>
      </w:r>
      <w:r w:rsidRPr="00F22A82">
        <w:t>高性能</w:t>
      </w:r>
      <w:r>
        <w:rPr>
          <w:rFonts w:hint="eastAsia"/>
        </w:rPr>
        <w:t>、低资源占用的组件化软件开发技术，</w:t>
      </w:r>
    </w:p>
    <w:p w:rsidR="00CD7FD4" w:rsidRDefault="00CD7FD4" w:rsidP="00CD7FD4">
      <w:r>
        <w:rPr>
          <w:rFonts w:hint="eastAsia"/>
        </w:rPr>
        <w:t>支持跨</w:t>
      </w:r>
      <w:r w:rsidRPr="00F22A82">
        <w:t>语言</w:t>
      </w:r>
      <w:r>
        <w:rPr>
          <w:rFonts w:hint="eastAsia"/>
        </w:rPr>
        <w:t>开发，能够跨平台运行，支持组件操作注入，支持任务式调用。</w:t>
      </w:r>
    </w:p>
    <w:p w:rsidR="00CD7FD4" w:rsidRDefault="00CD7FD4" w:rsidP="00CD7FD4">
      <w:r>
        <w:rPr>
          <w:rFonts w:hint="eastAsia"/>
        </w:rPr>
        <w:t>字面上，</w:t>
      </w:r>
      <w:r>
        <w:rPr>
          <w:rFonts w:hint="eastAsia"/>
        </w:rPr>
        <w:t>TCM</w:t>
      </w:r>
      <w:r>
        <w:rPr>
          <w:rFonts w:hint="eastAsia"/>
        </w:rPr>
        <w:t>指</w:t>
      </w:r>
      <w:r>
        <w:rPr>
          <w:rFonts w:hint="eastAsia"/>
        </w:rPr>
        <w:t>Task</w:t>
      </w:r>
      <w:r>
        <w:rPr>
          <w:rFonts w:hint="eastAsia"/>
        </w:rPr>
        <w:t>（任务）</w:t>
      </w:r>
      <w:r>
        <w:rPr>
          <w:rFonts w:hint="eastAsia"/>
        </w:rPr>
        <w:t>+Component</w:t>
      </w:r>
      <w:r>
        <w:rPr>
          <w:rFonts w:hint="eastAsia"/>
        </w:rPr>
        <w:t>（组件）</w:t>
      </w:r>
      <w:r>
        <w:rPr>
          <w:rFonts w:hint="eastAsia"/>
        </w:rPr>
        <w:t>+Model</w:t>
      </w:r>
      <w:r>
        <w:rPr>
          <w:rFonts w:hint="eastAsia"/>
        </w:rPr>
        <w:t>（模型）。</w:t>
      </w:r>
    </w:p>
    <w:p w:rsidR="00CD7FD4" w:rsidRDefault="00CD7FD4" w:rsidP="00CD7FD4">
      <w:pPr>
        <w:rPr>
          <w:rFonts w:cs="Calibri"/>
        </w:rPr>
      </w:pPr>
      <w:r>
        <w:rPr>
          <w:rFonts w:cs="Calibri" w:hint="eastAsia"/>
        </w:rPr>
        <w:t>其中表达了这样的涵义：</w:t>
      </w:r>
    </w:p>
    <w:p w:rsidR="00CD7FD4" w:rsidRPr="00F616DD" w:rsidRDefault="00CD7FD4" w:rsidP="00CD7FD4">
      <w:pPr>
        <w:rPr>
          <w:rFonts w:cs="Calibri"/>
          <w:color w:val="0070C0"/>
        </w:rPr>
      </w:pPr>
      <w:r w:rsidRPr="00F616DD">
        <w:rPr>
          <w:rFonts w:cs="Calibri" w:hint="eastAsia"/>
          <w:color w:val="0070C0"/>
        </w:rPr>
        <w:t>功能可被归类在组件中，组件调用可被抽象为任务，组件可以参与复杂建模。</w:t>
      </w:r>
    </w:p>
    <w:p w:rsidR="00CD7FD4" w:rsidRDefault="00CD7FD4" w:rsidP="00CD7FD4">
      <w:pPr>
        <w:rPr>
          <w:rFonts w:cs="Calibri"/>
        </w:rPr>
      </w:pPr>
    </w:p>
    <w:p w:rsidR="00CD7FD4" w:rsidRDefault="00CD7FD4" w:rsidP="00CD7FD4">
      <w:r>
        <w:rPr>
          <w:rFonts w:hint="eastAsia"/>
        </w:rPr>
        <w:t>在软件项目的整个开发周期中应用</w:t>
      </w:r>
      <w:r w:rsidRPr="00BE4DFC">
        <w:rPr>
          <w:rFonts w:cs="Calibri" w:hint="eastAsia"/>
        </w:rPr>
        <w:t>TCM</w:t>
      </w:r>
      <w:r>
        <w:rPr>
          <w:rFonts w:hint="eastAsia"/>
        </w:rPr>
        <w:t>技术，</w:t>
      </w:r>
    </w:p>
    <w:p w:rsidR="00CD7FD4" w:rsidRDefault="00CD7FD4" w:rsidP="00CD7FD4">
      <w:r>
        <w:rPr>
          <w:rFonts w:hint="eastAsia"/>
        </w:rPr>
        <w:t>能够显著提高开发效率，有效降低架构耦合程度和项目复杂度</w:t>
      </w:r>
      <w:r w:rsidRPr="00F22A82">
        <w:t>。</w:t>
      </w:r>
    </w:p>
    <w:p w:rsidR="00CD7FD4" w:rsidRDefault="00CD7FD4" w:rsidP="00CD7FD4">
      <w:pPr>
        <w:rPr>
          <w:rFonts w:cs="Calibri"/>
        </w:rPr>
      </w:pPr>
      <w:r>
        <w:rPr>
          <w:rFonts w:cs="Calibri" w:hint="eastAsia"/>
        </w:rPr>
        <w:t>以下简述</w:t>
      </w:r>
      <w:r>
        <w:rPr>
          <w:rFonts w:cs="Calibri" w:hint="eastAsia"/>
        </w:rPr>
        <w:t>TCM</w:t>
      </w:r>
      <w:r>
        <w:rPr>
          <w:rFonts w:cs="Calibri" w:hint="eastAsia"/>
        </w:rPr>
        <w:t>技术的关键机制，具体请参考其他有关</w:t>
      </w:r>
      <w:r>
        <w:rPr>
          <w:rFonts w:cs="Calibri" w:hint="eastAsia"/>
        </w:rPr>
        <w:t>TCM</w:t>
      </w:r>
      <w:r>
        <w:rPr>
          <w:rFonts w:cs="Calibri" w:hint="eastAsia"/>
        </w:rPr>
        <w:t>设计的文档。</w:t>
      </w:r>
    </w:p>
    <w:p w:rsidR="00CD7FD4" w:rsidRPr="001A59F9" w:rsidRDefault="00CD7FD4" w:rsidP="00CD7FD4">
      <w:pPr>
        <w:rPr>
          <w:rFonts w:cs="Calibri"/>
        </w:rPr>
      </w:pPr>
    </w:p>
    <w:p w:rsidR="00CD7FD4" w:rsidRPr="001A59F9" w:rsidRDefault="00CD7FD4" w:rsidP="00CD7FD4">
      <w:pPr>
        <w:rPr>
          <w:shd w:val="pct15" w:color="auto" w:fill="FFFFFF"/>
        </w:rPr>
      </w:pPr>
      <w:r w:rsidRPr="001A59F9">
        <w:rPr>
          <w:rFonts w:hint="eastAsia"/>
          <w:shd w:val="pct15" w:color="auto" w:fill="FFFFFF"/>
        </w:rPr>
        <w:t>驱动</w:t>
      </w:r>
      <w:r>
        <w:rPr>
          <w:rFonts w:hint="eastAsia"/>
          <w:shd w:val="pct15" w:color="auto" w:fill="FFFFFF"/>
        </w:rPr>
        <w:t>机制</w:t>
      </w:r>
      <w:r>
        <w:rPr>
          <w:rFonts w:hint="eastAsia"/>
          <w:shd w:val="pct15" w:color="auto" w:fill="FFFFFF"/>
        </w:rPr>
        <w:t xml:space="preserve"> </w:t>
      </w:r>
      <w:r w:rsidRPr="001A59F9">
        <w:rPr>
          <w:rFonts w:hint="eastAsia"/>
          <w:shd w:val="pct15" w:color="auto" w:fill="FFFFFF"/>
        </w:rPr>
        <w:t>与</w:t>
      </w:r>
      <w:r>
        <w:rPr>
          <w:rFonts w:hint="eastAsia"/>
          <w:shd w:val="pct15" w:color="auto" w:fill="FFFFFF"/>
        </w:rPr>
        <w:t xml:space="preserve"> </w:t>
      </w:r>
      <w:r w:rsidRPr="001A59F9">
        <w:rPr>
          <w:rFonts w:hint="eastAsia"/>
          <w:shd w:val="pct15" w:color="auto" w:fill="FFFFFF"/>
        </w:rPr>
        <w:t>跨语言和跨平台特性</w:t>
      </w:r>
    </w:p>
    <w:p w:rsidR="00CD7FD4" w:rsidRDefault="00CD7FD4" w:rsidP="00CD7FD4">
      <w:r>
        <w:rPr>
          <w:rFonts w:hint="eastAsia"/>
        </w:rPr>
        <w:t>开发人员可以根据自己的需要，选择任何支持的语言开发</w:t>
      </w:r>
      <w:r>
        <w:rPr>
          <w:rFonts w:hint="eastAsia"/>
        </w:rPr>
        <w:t>TCM</w:t>
      </w:r>
      <w:r>
        <w:rPr>
          <w:rFonts w:hint="eastAsia"/>
        </w:rPr>
        <w:t>组件，</w:t>
      </w:r>
    </w:p>
    <w:p w:rsidR="00CD7FD4" w:rsidRDefault="00CD7FD4" w:rsidP="00CD7FD4">
      <w:r>
        <w:rPr>
          <w:rFonts w:hint="eastAsia"/>
        </w:rPr>
        <w:t>任何</w:t>
      </w:r>
      <w:r>
        <w:rPr>
          <w:rFonts w:hint="eastAsia"/>
        </w:rPr>
        <w:t>TCM</w:t>
      </w:r>
      <w:r>
        <w:rPr>
          <w:rFonts w:hint="eastAsia"/>
        </w:rPr>
        <w:t>组件可以用于任何一种支持的执行环境。</w:t>
      </w:r>
    </w:p>
    <w:p w:rsidR="00CD7FD4" w:rsidRPr="00034DE6" w:rsidRDefault="00CD7FD4" w:rsidP="00CD7FD4">
      <w:r>
        <w:rPr>
          <w:rFonts w:hint="eastAsia"/>
        </w:rPr>
        <w:t>开发人员也可以按照</w:t>
      </w:r>
      <w:r>
        <w:rPr>
          <w:rFonts w:hint="eastAsia"/>
        </w:rPr>
        <w:t>TCM</w:t>
      </w:r>
      <w:r>
        <w:rPr>
          <w:rFonts w:hint="eastAsia"/>
        </w:rPr>
        <w:t>的相关规范，开发用于所需特定语言和平台的驱动。</w:t>
      </w:r>
    </w:p>
    <w:p w:rsidR="00CD7FD4" w:rsidRPr="001A59F9" w:rsidRDefault="00CD7FD4" w:rsidP="00CD7FD4">
      <w:pPr>
        <w:rPr>
          <w:rFonts w:cs="Calibri"/>
          <w:shd w:val="pct15" w:color="auto" w:fill="FFFFFF"/>
        </w:rPr>
      </w:pPr>
      <w:r w:rsidRPr="001A59F9">
        <w:rPr>
          <w:rFonts w:cs="Calibri" w:hint="eastAsia"/>
          <w:shd w:val="pct15" w:color="auto" w:fill="FFFFFF"/>
        </w:rPr>
        <w:t>插件机制</w:t>
      </w:r>
      <w:r>
        <w:rPr>
          <w:rFonts w:cs="Calibri" w:hint="eastAsia"/>
          <w:shd w:val="pct15" w:color="auto" w:fill="FFFFFF"/>
        </w:rPr>
        <w:t xml:space="preserve"> </w:t>
      </w:r>
      <w:r w:rsidRPr="001A59F9">
        <w:rPr>
          <w:rFonts w:cs="Calibri" w:hint="eastAsia"/>
          <w:shd w:val="pct15" w:color="auto" w:fill="FFFFFF"/>
        </w:rPr>
        <w:t>与</w:t>
      </w:r>
      <w:r>
        <w:rPr>
          <w:rFonts w:cs="Calibri" w:hint="eastAsia"/>
          <w:shd w:val="pct15" w:color="auto" w:fill="FFFFFF"/>
        </w:rPr>
        <w:t xml:space="preserve"> </w:t>
      </w:r>
      <w:r w:rsidRPr="001A59F9">
        <w:rPr>
          <w:rFonts w:cs="Calibri" w:hint="eastAsia"/>
          <w:shd w:val="pct15" w:color="auto" w:fill="FFFFFF"/>
        </w:rPr>
        <w:t>组件操作注入</w:t>
      </w:r>
      <w:r>
        <w:rPr>
          <w:rFonts w:cs="Calibri" w:hint="eastAsia"/>
          <w:shd w:val="pct15" w:color="auto" w:fill="FFFFFF"/>
        </w:rPr>
        <w:t>特性</w:t>
      </w:r>
    </w:p>
    <w:p w:rsidR="00CD7FD4" w:rsidRPr="00584219" w:rsidRDefault="00CD7FD4" w:rsidP="00CD7FD4">
      <w:pPr>
        <w:rPr>
          <w:rFonts w:cs="Calibri"/>
          <w:color w:val="538135" w:themeColor="accent6" w:themeShade="BF"/>
          <w:sz w:val="20"/>
        </w:rPr>
      </w:pPr>
      <w:r w:rsidRPr="00584219">
        <w:rPr>
          <w:rFonts w:cs="Calibri" w:hint="eastAsia"/>
          <w:color w:val="538135" w:themeColor="accent6" w:themeShade="BF"/>
          <w:sz w:val="20"/>
        </w:rPr>
        <w:t>“组件操作注入”指开</w:t>
      </w:r>
      <w:r w:rsidRPr="00BC3FBF">
        <w:rPr>
          <w:rFonts w:cs="Calibri" w:hint="eastAsia"/>
          <w:color w:val="538135" w:themeColor="accent6" w:themeShade="BF"/>
          <w:sz w:val="20"/>
        </w:rPr>
        <w:t>发人员在组件的功能的执</w:t>
      </w:r>
      <w:r w:rsidRPr="00584219">
        <w:rPr>
          <w:rFonts w:cs="Calibri" w:hint="eastAsia"/>
          <w:color w:val="538135" w:themeColor="accent6" w:themeShade="BF"/>
          <w:sz w:val="20"/>
        </w:rPr>
        <w:t>行过程中将某些对象与组件的执行过程关联。</w:t>
      </w:r>
    </w:p>
    <w:p w:rsidR="00CD7FD4" w:rsidRDefault="00CD7FD4" w:rsidP="00CD7FD4">
      <w:pPr>
        <w:rPr>
          <w:rFonts w:cs="Calibri"/>
        </w:rPr>
      </w:pPr>
      <w:r>
        <w:rPr>
          <w:rFonts w:cs="Calibri" w:hint="eastAsia"/>
        </w:rPr>
        <w:t>TCM</w:t>
      </w:r>
      <w:r>
        <w:rPr>
          <w:rFonts w:cs="Calibri" w:hint="eastAsia"/>
        </w:rPr>
        <w:t>遵循</w:t>
      </w:r>
      <w:r>
        <w:rPr>
          <w:rFonts w:cs="Calibri" w:hint="eastAsia"/>
        </w:rPr>
        <w:t>AOP</w:t>
      </w:r>
      <w:r>
        <w:rPr>
          <w:rFonts w:cs="Calibri" w:hint="eastAsia"/>
        </w:rPr>
        <w:t>思想，提供了特性插件机制。</w:t>
      </w:r>
    </w:p>
    <w:p w:rsidR="00CD7FD4" w:rsidRDefault="00CD7FD4" w:rsidP="00CD7FD4">
      <w:pPr>
        <w:rPr>
          <w:rFonts w:cs="Calibri"/>
        </w:rPr>
      </w:pPr>
      <w:r>
        <w:rPr>
          <w:rFonts w:cs="Calibri" w:hint="eastAsia"/>
        </w:rPr>
        <w:t>开发人员可以根据自己的需要，在运行期间为执行过程注入特性对象。</w:t>
      </w:r>
    </w:p>
    <w:p w:rsidR="00CD7FD4" w:rsidRPr="00584219" w:rsidRDefault="00CD7FD4" w:rsidP="00CD7FD4">
      <w:pPr>
        <w:rPr>
          <w:rFonts w:cs="Calibri"/>
        </w:rPr>
      </w:pPr>
      <w:r>
        <w:rPr>
          <w:rFonts w:cs="Calibri" w:hint="eastAsia"/>
        </w:rPr>
        <w:t>特性对象包括日志、计时器等。</w:t>
      </w:r>
    </w:p>
    <w:p w:rsidR="00CD7FD4" w:rsidRPr="001A59F9" w:rsidRDefault="00CD7FD4" w:rsidP="00CD7FD4">
      <w:pPr>
        <w:rPr>
          <w:rFonts w:cs="Calibri"/>
          <w:shd w:val="pct15" w:color="auto" w:fill="FFFFFF"/>
        </w:rPr>
      </w:pPr>
      <w:r w:rsidRPr="001A59F9">
        <w:rPr>
          <w:rFonts w:cs="Calibri" w:hint="eastAsia"/>
          <w:shd w:val="pct15" w:color="auto" w:fill="FFFFFF"/>
        </w:rPr>
        <w:t>宿主机制</w:t>
      </w:r>
      <w:r>
        <w:rPr>
          <w:rFonts w:cs="Calibri" w:hint="eastAsia"/>
          <w:shd w:val="pct15" w:color="auto" w:fill="FFFFFF"/>
        </w:rPr>
        <w:t xml:space="preserve"> </w:t>
      </w:r>
      <w:r w:rsidRPr="001A59F9">
        <w:rPr>
          <w:rFonts w:cs="Calibri" w:hint="eastAsia"/>
          <w:shd w:val="pct15" w:color="auto" w:fill="FFFFFF"/>
        </w:rPr>
        <w:t>与</w:t>
      </w:r>
      <w:r>
        <w:rPr>
          <w:rFonts w:cs="Calibri" w:hint="eastAsia"/>
          <w:shd w:val="pct15" w:color="auto" w:fill="FFFFFF"/>
        </w:rPr>
        <w:t xml:space="preserve"> </w:t>
      </w:r>
      <w:r w:rsidRPr="001A59F9">
        <w:rPr>
          <w:rFonts w:cs="Calibri" w:hint="eastAsia"/>
          <w:shd w:val="pct15" w:color="auto" w:fill="FFFFFF"/>
        </w:rPr>
        <w:t>任务式组件调用特性</w:t>
      </w:r>
    </w:p>
    <w:p w:rsidR="00CD7FD4" w:rsidRDefault="00CD7FD4" w:rsidP="00CD7FD4">
      <w:pPr>
        <w:rPr>
          <w:rFonts w:cs="Calibri"/>
        </w:rPr>
      </w:pPr>
      <w:r>
        <w:rPr>
          <w:rFonts w:cs="Calibri" w:hint="eastAsia"/>
        </w:rPr>
        <w:t>开发人员可以通过任务式调用隔离应用与组件。</w:t>
      </w:r>
    </w:p>
    <w:p w:rsidR="00CD7FD4" w:rsidRDefault="00CD7FD4" w:rsidP="00CD7FD4">
      <w:pPr>
        <w:rPr>
          <w:rFonts w:cs="Calibri"/>
        </w:rPr>
      </w:pPr>
      <w:r>
        <w:rPr>
          <w:rFonts w:cs="Calibri" w:hint="eastAsia"/>
        </w:rPr>
        <w:t>在保证效率和功能不损失的前提下，进一步提高应用的稳定性，</w:t>
      </w:r>
    </w:p>
    <w:p w:rsidR="00CD7FD4" w:rsidRPr="001A59F9" w:rsidRDefault="00CD7FD4" w:rsidP="00CD7FD4">
      <w:pPr>
        <w:rPr>
          <w:rFonts w:cs="Calibri"/>
        </w:rPr>
      </w:pPr>
      <w:r>
        <w:rPr>
          <w:rFonts w:cs="Calibri" w:hint="eastAsia"/>
        </w:rPr>
        <w:t>并可以适用于更多样复杂的集成场景。</w:t>
      </w:r>
    </w:p>
    <w:p w:rsidR="00CD7FD4" w:rsidRDefault="00CD7FD4" w:rsidP="00CD7FD4">
      <w:pPr>
        <w:rPr>
          <w:rFonts w:cs="Calibri"/>
        </w:rPr>
      </w:pPr>
    </w:p>
    <w:p w:rsidR="00CD7FD4" w:rsidRPr="00CD7FD4" w:rsidRDefault="00CD7FD4" w:rsidP="00CD7FD4">
      <w:pPr>
        <w:spacing w:before="-1" w:after="-1"/>
        <w:rPr>
          <w:rFonts w:cs="Calibri"/>
        </w:rPr>
      </w:pPr>
    </w:p>
    <w:sectPr w:rsidR="00CD7FD4" w:rsidRPr="00CD7F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0F1" w:rsidRDefault="00C260F1">
      <w:pPr>
        <w:spacing w:line="240" w:lineRule="auto"/>
      </w:pPr>
      <w:r>
        <w:separator/>
      </w:r>
    </w:p>
  </w:endnote>
  <w:endnote w:type="continuationSeparator" w:id="0">
    <w:p w:rsidR="00C260F1" w:rsidRDefault="00C260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66A" w:rsidRDefault="00C260F1" w:rsidP="006E4352">
    <w:pPr>
      <w:pStyle w:val="a3"/>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0F1" w:rsidRDefault="00C260F1">
      <w:pPr>
        <w:spacing w:line="240" w:lineRule="auto"/>
      </w:pPr>
      <w:r>
        <w:separator/>
      </w:r>
    </w:p>
  </w:footnote>
  <w:footnote w:type="continuationSeparator" w:id="0">
    <w:p w:rsidR="00C260F1" w:rsidRDefault="00C260F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2B6354"/>
    <w:multiLevelType w:val="hybridMultilevel"/>
    <w:tmpl w:val="6A92F0B4"/>
    <w:lvl w:ilvl="0" w:tplc="AE463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FD4"/>
    <w:rsid w:val="00716638"/>
    <w:rsid w:val="00830159"/>
    <w:rsid w:val="008C444C"/>
    <w:rsid w:val="00A87F0E"/>
    <w:rsid w:val="00C260F1"/>
    <w:rsid w:val="00CD7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B7E2B7-0051-4162-90CD-731A95057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7FD4"/>
    <w:pPr>
      <w:spacing w:line="360" w:lineRule="auto"/>
    </w:pPr>
    <w:rPr>
      <w:rFonts w:ascii="Calibri" w:eastAsia="宋体" w:hAnsi="Calibri"/>
      <w:szCs w:val="21"/>
    </w:rPr>
  </w:style>
  <w:style w:type="paragraph" w:styleId="2">
    <w:name w:val="heading 2"/>
    <w:basedOn w:val="a"/>
    <w:next w:val="a"/>
    <w:link w:val="2Char"/>
    <w:uiPriority w:val="9"/>
    <w:unhideWhenUsed/>
    <w:qFormat/>
    <w:rsid w:val="00CD7FD4"/>
    <w:pPr>
      <w:spacing w:afterLines="50" w:after="50" w:line="240" w:lineRule="auto"/>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D7FD4"/>
    <w:pPr>
      <w:widowControl w:val="0"/>
      <w:autoSpaceDE w:val="0"/>
      <w:autoSpaceDN w:val="0"/>
      <w:adjustRightInd w:val="0"/>
      <w:spacing w:before="-1" w:after="-1" w:line="360" w:lineRule="auto"/>
    </w:pPr>
    <w:rPr>
      <w:rFonts w:ascii="宋体" w:eastAsia="宋体" w:hAnsi="宋体" w:cs="宋体"/>
      <w:color w:val="000000"/>
      <w:kern w:val="0"/>
      <w:sz w:val="24"/>
      <w:szCs w:val="24"/>
    </w:rPr>
  </w:style>
  <w:style w:type="paragraph" w:styleId="a3">
    <w:name w:val="footer"/>
    <w:basedOn w:val="a"/>
    <w:link w:val="Char"/>
    <w:uiPriority w:val="99"/>
    <w:unhideWhenUsed/>
    <w:rsid w:val="00CD7FD4"/>
    <w:pPr>
      <w:tabs>
        <w:tab w:val="center" w:pos="4153"/>
        <w:tab w:val="right" w:pos="8306"/>
      </w:tabs>
      <w:snapToGrid w:val="0"/>
    </w:pPr>
    <w:rPr>
      <w:sz w:val="18"/>
      <w:szCs w:val="18"/>
    </w:rPr>
  </w:style>
  <w:style w:type="character" w:customStyle="1" w:styleId="Char">
    <w:name w:val="页脚 Char"/>
    <w:basedOn w:val="a0"/>
    <w:link w:val="a3"/>
    <w:uiPriority w:val="99"/>
    <w:rsid w:val="00CD7FD4"/>
    <w:rPr>
      <w:rFonts w:ascii="Calibri" w:eastAsia="宋体" w:hAnsi="Calibri"/>
      <w:sz w:val="18"/>
      <w:szCs w:val="18"/>
    </w:rPr>
  </w:style>
  <w:style w:type="paragraph" w:styleId="a4">
    <w:name w:val="List Paragraph"/>
    <w:basedOn w:val="a"/>
    <w:uiPriority w:val="34"/>
    <w:qFormat/>
    <w:rsid w:val="00CD7FD4"/>
    <w:pPr>
      <w:ind w:firstLineChars="200" w:firstLine="420"/>
    </w:pPr>
  </w:style>
  <w:style w:type="character" w:customStyle="1" w:styleId="2Char">
    <w:name w:val="标题 2 Char"/>
    <w:basedOn w:val="a0"/>
    <w:link w:val="2"/>
    <w:uiPriority w:val="9"/>
    <w:rsid w:val="00CD7FD4"/>
    <w:rPr>
      <w:rFonts w:ascii="Calibri" w:eastAsia="宋体" w:hAnsi="Calibri" w:cstheme="majorBidi"/>
      <w:b/>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123</Words>
  <Characters>705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李罡</dc:creator>
  <cp:keywords/>
  <dc:description/>
  <cp:lastModifiedBy>李罡</cp:lastModifiedBy>
  <cp:revision>3</cp:revision>
  <dcterms:created xsi:type="dcterms:W3CDTF">2013-12-08T12:50:00Z</dcterms:created>
  <dcterms:modified xsi:type="dcterms:W3CDTF">2013-12-08T14:01:00Z</dcterms:modified>
</cp:coreProperties>
</file>