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bookmarkStart w:id="0" w:name="_GoBack"/>
      <w:bookmarkEnd w:id="0"/>
    </w:p>
    <w:p w:rsidR="00F95FC6" w:rsidRDefault="00F95FC6" w:rsidP="00C06295">
      <w:pPr>
        <w:rPr>
          <w:sz w:val="23"/>
          <w:szCs w:val="23"/>
        </w:rPr>
      </w:pPr>
    </w:p>
    <w:p w:rsidR="005F2969" w:rsidRDefault="005F2969" w:rsidP="00C06295">
      <w:r>
        <w:rPr>
          <w:sz w:val="23"/>
          <w:szCs w:val="23"/>
        </w:rPr>
        <w:t>版本：</w:t>
      </w:r>
      <w:r>
        <w:rPr>
          <w:rFonts w:cs="Calibri"/>
          <w:sz w:val="23"/>
          <w:szCs w:val="23"/>
        </w:rPr>
        <w:t>201</w:t>
      </w:r>
      <w:r w:rsidR="008F7DCB">
        <w:rPr>
          <w:rFonts w:cs="Calibri" w:hint="eastAsia"/>
          <w:sz w:val="23"/>
          <w:szCs w:val="23"/>
        </w:rPr>
        <w:t>4</w:t>
      </w:r>
      <w:r>
        <w:rPr>
          <w:rFonts w:cs="Calibri"/>
          <w:sz w:val="23"/>
          <w:szCs w:val="23"/>
        </w:rPr>
        <w:t>/</w:t>
      </w:r>
      <w:r w:rsidR="00FC0624">
        <w:rPr>
          <w:rFonts w:cs="Calibri"/>
          <w:sz w:val="23"/>
          <w:szCs w:val="23"/>
        </w:rPr>
        <w:t>5</w:t>
      </w:r>
      <w:r>
        <w:rPr>
          <w:rFonts w:cs="Calibri"/>
          <w:sz w:val="23"/>
          <w:szCs w:val="23"/>
        </w:rPr>
        <w:t>/</w:t>
      </w:r>
      <w:r w:rsidR="00FC0624">
        <w:rPr>
          <w:rFonts w:cs="Calibri"/>
          <w:sz w:val="23"/>
          <w:szCs w:val="23"/>
        </w:rPr>
        <w:t>28</w:t>
      </w:r>
      <w:r>
        <w:rPr>
          <w:sz w:val="23"/>
          <w:szCs w:val="23"/>
        </w:rPr>
        <w:t>（</w:t>
      </w:r>
      <w:r>
        <w:rPr>
          <w:rFonts w:hint="eastAsia"/>
          <w:sz w:val="23"/>
          <w:szCs w:val="23"/>
        </w:rPr>
        <w:t>重制</w:t>
      </w:r>
      <w:r w:rsidR="00FC0624">
        <w:rPr>
          <w:rFonts w:hint="eastAsia"/>
          <w:sz w:val="23"/>
          <w:szCs w:val="23"/>
        </w:rPr>
        <w:t>5</w:t>
      </w:r>
      <w:r>
        <w:rPr>
          <w:sz w:val="23"/>
          <w:szCs w:val="23"/>
        </w:rPr>
        <w:t>修订</w:t>
      </w:r>
      <w:r w:rsidR="00FC0624">
        <w:rPr>
          <w:rFonts w:hint="eastAsia"/>
          <w:sz w:val="23"/>
          <w:szCs w:val="23"/>
        </w:rPr>
        <w:t>0</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8"/>
          <w:pgSz w:w="11906" w:h="16838"/>
          <w:pgMar w:top="1440" w:right="1800" w:bottom="1440" w:left="1800" w:header="851" w:footer="992" w:gutter="0"/>
          <w:cols w:space="425"/>
          <w:docGrid w:type="lines" w:linePitch="312"/>
        </w:sectPr>
      </w:pPr>
    </w:p>
    <w:p w:rsidR="00A748CE" w:rsidRDefault="006C695A" w:rsidP="00A748CE">
      <w:pPr>
        <w:pStyle w:val="a9"/>
      </w:pPr>
      <w:bookmarkStart w:id="1" w:name="_Toc371520704"/>
      <w:bookmarkStart w:id="2" w:name="_Toc374303007"/>
      <w:r>
        <w:rPr>
          <w:rFonts w:hint="eastAsia"/>
        </w:rPr>
        <w:lastRenderedPageBreak/>
        <w:t>目录</w:t>
      </w:r>
      <w:bookmarkEnd w:id="1"/>
      <w:bookmarkEnd w:id="2"/>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FC0624">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FC0624">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FC0624">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FC0624">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FC0624">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FC0624">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FC0624">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FC0624">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9"/>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3" w:name="_Toc374303008"/>
      <w:r>
        <w:rPr>
          <w:rFonts w:hint="eastAsia"/>
        </w:rPr>
        <w:lastRenderedPageBreak/>
        <w:t>起始</w:t>
      </w:r>
      <w:bookmarkEnd w:id="3"/>
    </w:p>
    <w:p w:rsidR="00F616DD" w:rsidRPr="007855CE" w:rsidRDefault="007855CE" w:rsidP="007855CE">
      <w:pPr>
        <w:pStyle w:val="2"/>
        <w:spacing w:after="156"/>
        <w:ind w:left="420" w:hanging="420"/>
      </w:pPr>
      <w:bookmarkStart w:id="4" w:name="_Toc374303009"/>
      <w:proofErr w:type="spellStart"/>
      <w:r>
        <w:rPr>
          <w:rFonts w:hint="eastAsia"/>
        </w:rPr>
        <w:t>Vapula</w:t>
      </w:r>
      <w:proofErr w:type="spellEnd"/>
      <w:r>
        <w:rPr>
          <w:rFonts w:hint="eastAsia"/>
        </w:rPr>
        <w:t>框架</w:t>
      </w:r>
      <w:bookmarkEnd w:id="4"/>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373EB9">
        <w:rPr>
          <w:rFonts w:cs="Calibri"/>
        </w:rPr>
        <w:t>FOCBAR</w:t>
      </w:r>
      <w:r w:rsidR="00B2066A">
        <w:rPr>
          <w:rFonts w:cs="Calibri" w:hint="eastAsia"/>
        </w:rPr>
        <w:t>的</w:t>
      </w:r>
      <w:r w:rsidR="005B070E">
        <w:rPr>
          <w:rFonts w:cs="Calibri" w:hint="eastAsia"/>
        </w:rPr>
        <w:t>组件化软件</w:t>
      </w:r>
      <w:r w:rsidR="00B2066A">
        <w:rPr>
          <w:rFonts w:cs="Calibri" w:hint="eastAsia"/>
        </w:rPr>
        <w:t>开发框架</w:t>
      </w:r>
      <w:r w:rsidR="00CE62E1">
        <w:rPr>
          <w:rFonts w:cs="Calibri" w:hint="eastAsia"/>
        </w:rPr>
        <w:t>。</w:t>
      </w:r>
    </w:p>
    <w:p w:rsidR="00CE0B70" w:rsidRDefault="00373EB9" w:rsidP="00E6024E">
      <w:pPr>
        <w:rPr>
          <w:rFonts w:cs="Calibri"/>
        </w:rPr>
      </w:pPr>
      <w:r>
        <w:rPr>
          <w:rFonts w:cs="Calibri"/>
        </w:rPr>
        <w:t>FOCBAR</w:t>
      </w:r>
      <w:r w:rsidR="00D36F49">
        <w:rPr>
          <w:rFonts w:cs="Calibri" w:hint="eastAsia"/>
        </w:rPr>
        <w:t>是</w:t>
      </w:r>
      <w:r w:rsidR="00CE0B70">
        <w:rPr>
          <w:rFonts w:cs="Calibri" w:hint="eastAsia"/>
        </w:rPr>
        <w:t>一个基本约束集，其中提出一系列用于组件架构设计的约束。</w:t>
      </w:r>
    </w:p>
    <w:p w:rsidR="00D36F49" w:rsidRDefault="00D36F49" w:rsidP="00E6024E">
      <w:pPr>
        <w:rPr>
          <w:rFonts w:cs="Calibri"/>
        </w:rPr>
      </w:pPr>
      <w:r>
        <w:rPr>
          <w:rFonts w:cs="Calibri" w:hint="eastAsia"/>
        </w:rPr>
        <w:t>具体请参考</w:t>
      </w:r>
      <w:r w:rsidR="00373EB9">
        <w:rPr>
          <w:rFonts w:cs="Calibri"/>
        </w:rPr>
        <w:t>FOCBAR</w:t>
      </w:r>
      <w:r>
        <w:rPr>
          <w:rFonts w:cs="Calibri" w:hint="eastAsia"/>
        </w:rPr>
        <w:t>文档。</w:t>
      </w:r>
    </w:p>
    <w:p w:rsidR="00F7345E" w:rsidRPr="00373EB9"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w:t>
      </w:r>
      <w:r w:rsidR="000E76D0">
        <w:rPr>
          <w:rFonts w:cs="Calibri"/>
        </w:rPr>
        <w:t>1</w:t>
      </w:r>
      <w:r w:rsidR="00B64DF2">
        <w:rPr>
          <w:rFonts w:cs="Calibri" w:hint="eastAsia"/>
        </w:rPr>
        <w:t>.</w:t>
      </w:r>
      <w:r w:rsidR="000E76D0">
        <w:rPr>
          <w:rFonts w:cs="Calibri"/>
        </w:rPr>
        <w:t>0</w:t>
      </w:r>
    </w:p>
    <w:p w:rsidR="00827AE3" w:rsidRDefault="00827AE3" w:rsidP="00E6024E">
      <w:pPr>
        <w:rPr>
          <w:rFonts w:cs="Calibri"/>
        </w:rPr>
      </w:pPr>
      <w:r>
        <w:rPr>
          <w:rFonts w:cs="Calibri" w:hint="eastAsia"/>
        </w:rPr>
        <w:t>可以在</w:t>
      </w:r>
      <w:proofErr w:type="spellStart"/>
      <w:r w:rsidR="004954D3">
        <w:rPr>
          <w:rFonts w:cs="Calibri" w:hint="eastAsia"/>
        </w:rPr>
        <w:t>Github</w:t>
      </w:r>
      <w:proofErr w:type="spellEnd"/>
      <w:r w:rsidR="004954D3">
        <w:rPr>
          <w:rFonts w:cs="Calibri" w:hint="eastAsia"/>
        </w:rPr>
        <w:t>获取</w:t>
      </w:r>
      <w:proofErr w:type="spellStart"/>
      <w:r w:rsidR="003D4F30">
        <w:rPr>
          <w:rFonts w:cs="Calibri" w:hint="eastAsia"/>
        </w:rPr>
        <w:t>Vapula</w:t>
      </w:r>
      <w:proofErr w:type="spellEnd"/>
      <w:r w:rsidR="003D4F30">
        <w:rPr>
          <w:rFonts w:cs="Calibri" w:hint="eastAsia"/>
        </w:rPr>
        <w:t>的开发版本和发布版本</w:t>
      </w:r>
      <w:r w:rsidR="004954D3">
        <w:rPr>
          <w:rFonts w:cs="Calibri" w:hint="eastAsia"/>
        </w:rPr>
        <w:t>：</w:t>
      </w:r>
      <w:r w:rsidR="004954D3">
        <w:rPr>
          <w:rFonts w:cs="Calibri" w:hint="eastAsia"/>
        </w:rPr>
        <w:t>github.com/</w:t>
      </w:r>
      <w:proofErr w:type="spellStart"/>
      <w:r w:rsidR="004954D3">
        <w:rPr>
          <w:rFonts w:cs="Calibri" w:hint="eastAsia"/>
        </w:rPr>
        <w:t>sartrey</w:t>
      </w:r>
      <w:proofErr w:type="spellEnd"/>
      <w:r w:rsidR="004954D3">
        <w:rPr>
          <w:rFonts w:cs="Calibri" w:hint="eastAsia"/>
        </w:rPr>
        <w:t>/</w:t>
      </w:r>
      <w:proofErr w:type="spellStart"/>
      <w:r w:rsidR="004954D3">
        <w:rPr>
          <w:rFonts w:cs="Calibri" w:hint="eastAsia"/>
        </w:rPr>
        <w:t>vapula</w:t>
      </w:r>
      <w:proofErr w:type="spellEnd"/>
    </w:p>
    <w:p w:rsidR="00911AE5" w:rsidRPr="003D4F30" w:rsidRDefault="00911AE5" w:rsidP="00E6024E">
      <w:pPr>
        <w:rPr>
          <w:rFonts w:cs="Calibri"/>
        </w:rPr>
      </w:pPr>
    </w:p>
    <w:p w:rsidR="005A1149" w:rsidRDefault="003D4F30" w:rsidP="00E6024E">
      <w:pPr>
        <w:rPr>
          <w:rFonts w:cs="Calibri"/>
        </w:rPr>
      </w:pPr>
      <w:proofErr w:type="spellStart"/>
      <w:r>
        <w:rPr>
          <w:rFonts w:cs="Calibri" w:hint="eastAsia"/>
        </w:rPr>
        <w:t>V</w:t>
      </w:r>
      <w:r>
        <w:rPr>
          <w:rFonts w:cs="Calibri"/>
        </w:rPr>
        <w:t>apula</w:t>
      </w:r>
      <w:proofErr w:type="spellEnd"/>
      <w:r>
        <w:rPr>
          <w:rFonts w:cs="Calibri"/>
        </w:rPr>
        <w:t>框架</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5" w:name="_Toc374303010"/>
      <w:proofErr w:type="spellStart"/>
      <w:r>
        <w:rPr>
          <w:rFonts w:hint="eastAsia"/>
        </w:rPr>
        <w:lastRenderedPageBreak/>
        <w:t>Vapula</w:t>
      </w:r>
      <w:proofErr w:type="spellEnd"/>
      <w:r w:rsidR="00052424">
        <w:rPr>
          <w:rFonts w:hint="eastAsia"/>
        </w:rPr>
        <w:t>授权</w:t>
      </w:r>
      <w:bookmarkEnd w:id="5"/>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373EB9">
        <w:rPr>
          <w:rFonts w:cs="Calibri" w:hint="eastAsia"/>
        </w:rPr>
        <w:t>软件</w:t>
      </w:r>
      <w:r w:rsidR="00CE62E1">
        <w:rPr>
          <w:rFonts w:cs="Calibri" w:hint="eastAsia"/>
        </w:rPr>
        <w:t>，遵守</w:t>
      </w:r>
      <w:r w:rsidR="00CE62E1">
        <w:rPr>
          <w:rFonts w:cs="Calibri" w:hint="eastAsia"/>
        </w:rPr>
        <w:t>Apache 2</w:t>
      </w:r>
      <w:r w:rsidR="00FE26A1">
        <w:rPr>
          <w:rFonts w:cs="Calibri" w:hint="eastAsia"/>
        </w:rPr>
        <w:t>许可证进行分发，</w:t>
      </w:r>
      <w:r w:rsidR="00CE62E1">
        <w:rPr>
          <w:rFonts w:cs="Calibri" w:hint="eastAsia"/>
        </w:rPr>
        <w:t>版权归</w:t>
      </w:r>
      <w:r w:rsidR="00CE62E1">
        <w:rPr>
          <w:rFonts w:cs="Calibri" w:hint="eastAsia"/>
        </w:rPr>
        <w:t>Sartrey</w:t>
      </w:r>
      <w:r w:rsidR="00CE62E1">
        <w:rPr>
          <w:rFonts w:cs="Calibri" w:hint="eastAsia"/>
        </w:rPr>
        <w:t>所有。</w:t>
      </w:r>
    </w:p>
    <w:p w:rsidR="00CE62E1" w:rsidRDefault="00CE62E1" w:rsidP="00CE62E1">
      <w:pPr>
        <w:rPr>
          <w:rFonts w:cs="Calibri"/>
        </w:rPr>
      </w:pPr>
      <w:r>
        <w:rPr>
          <w:rFonts w:cs="Calibri" w:hint="eastAsia"/>
        </w:rPr>
        <w:t>你可以在以下位置获得源代码：</w:t>
      </w:r>
      <w:hyperlink r:id="rId10"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r w:rsidR="00EE2034">
        <w:rPr>
          <w:rFonts w:hint="eastAsia"/>
        </w:rPr>
        <w:t>Sartrey</w:t>
      </w:r>
      <w:r>
        <w:t>已经为你的分发背书）使用</w:t>
      </w:r>
      <w:r w:rsidR="00EE2034">
        <w:rPr>
          <w:rFonts w:hint="eastAsia"/>
        </w:rPr>
        <w:t>Sartrey</w:t>
      </w:r>
      <w:r>
        <w:t>拥有的任何商标</w:t>
      </w:r>
    </w:p>
    <w:p w:rsidR="005857BA" w:rsidRDefault="005857BA" w:rsidP="00FA4928">
      <w:pPr>
        <w:pStyle w:val="a5"/>
        <w:numPr>
          <w:ilvl w:val="0"/>
          <w:numId w:val="24"/>
        </w:numPr>
        <w:ind w:firstLineChars="0"/>
      </w:pPr>
      <w:r>
        <w:t>以任何方式（声明或暗示你创建了此软件）使用任何</w:t>
      </w:r>
      <w:r w:rsidR="003530E2">
        <w:rPr>
          <w:rFonts w:hint="eastAsia"/>
        </w:rPr>
        <w:t>Sartrey</w:t>
      </w:r>
      <w:r>
        <w:t>拥有的商标</w:t>
      </w:r>
    </w:p>
    <w:p w:rsidR="006275CB" w:rsidRPr="008F7D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r w:rsidR="008F7DCB">
        <w:rPr>
          <w:rFonts w:hint="eastAsia"/>
        </w:rPr>
        <w:t>Sartrey</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A86A2C" w:rsidRDefault="00A86A2C">
      <w:pPr>
        <w:spacing w:before="-1" w:after="-1"/>
      </w:pPr>
      <w:r>
        <w:br w:type="page"/>
      </w:r>
    </w:p>
    <w:p w:rsidR="00A86A2C" w:rsidRPr="007855CE" w:rsidRDefault="00A86A2C" w:rsidP="00A86A2C">
      <w:pPr>
        <w:pStyle w:val="2"/>
        <w:spacing w:after="156"/>
        <w:ind w:left="420" w:hanging="420"/>
      </w:pPr>
      <w:proofErr w:type="spellStart"/>
      <w:r>
        <w:rPr>
          <w:rFonts w:hint="eastAsia"/>
        </w:rPr>
        <w:lastRenderedPageBreak/>
        <w:t>Vapula</w:t>
      </w:r>
      <w:proofErr w:type="spellEnd"/>
      <w:r>
        <w:rPr>
          <w:rFonts w:hint="eastAsia"/>
        </w:rPr>
        <w:t>特性</w:t>
      </w:r>
    </w:p>
    <w:p w:rsidR="0051477F" w:rsidRDefault="0051477F" w:rsidP="0051477F">
      <w:r>
        <w:rPr>
          <w:rFonts w:hint="eastAsia"/>
        </w:rPr>
        <w:t>注：此小节所说明的特性是</w:t>
      </w:r>
      <w:proofErr w:type="spellStart"/>
      <w:r>
        <w:rPr>
          <w:rFonts w:hint="eastAsia"/>
        </w:rPr>
        <w:t>Vapula</w:t>
      </w:r>
      <w:proofErr w:type="spellEnd"/>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pPr>
      <w:r>
        <w:rPr>
          <w:rFonts w:hint="eastAsia"/>
        </w:rPr>
        <w:t>字符编码</w:t>
      </w:r>
    </w:p>
    <w:p w:rsidR="00672798" w:rsidRDefault="00C1743C" w:rsidP="00C1743C">
      <w:pPr>
        <w:pStyle w:val="a5"/>
        <w:ind w:left="360" w:firstLineChars="0" w:firstLine="0"/>
      </w:pPr>
      <w:proofErr w:type="spellStart"/>
      <w:r>
        <w:rPr>
          <w:rFonts w:hint="eastAsia"/>
        </w:rPr>
        <w:t>Vapula</w:t>
      </w:r>
      <w:proofErr w:type="spellEnd"/>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pPr>
      <w:proofErr w:type="spellStart"/>
      <w:r>
        <w:rPr>
          <w:rFonts w:hint="eastAsia"/>
        </w:rPr>
        <w:t>Vapula</w:t>
      </w:r>
      <w:proofErr w:type="spellEnd"/>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pPr>
      <w:r>
        <w:rPr>
          <w:rFonts w:hint="eastAsia"/>
        </w:rPr>
        <w:t>有关具体的</w:t>
      </w:r>
      <w:proofErr w:type="spellStart"/>
      <w:r>
        <w:rPr>
          <w:rFonts w:hint="eastAsia"/>
        </w:rPr>
        <w:t>Vapula</w:t>
      </w:r>
      <w:proofErr w:type="spellEnd"/>
      <w:r>
        <w:rPr>
          <w:rFonts w:hint="eastAsia"/>
        </w:rPr>
        <w:t>实现中的编码设计请参考</w:t>
      </w:r>
      <w:r w:rsidR="00DD453B">
        <w:rPr>
          <w:rFonts w:hint="eastAsia"/>
        </w:rPr>
        <w:t>“</w:t>
      </w:r>
      <w:proofErr w:type="spellStart"/>
      <w:r w:rsidR="00DD453B">
        <w:rPr>
          <w:rFonts w:hint="eastAsia"/>
        </w:rPr>
        <w:t>Vapula</w:t>
      </w:r>
      <w:proofErr w:type="spellEnd"/>
      <w:r>
        <w:rPr>
          <w:rFonts w:hint="eastAsia"/>
        </w:rPr>
        <w:t>编码</w:t>
      </w:r>
      <w:r w:rsidR="00DD453B">
        <w:rPr>
          <w:rFonts w:hint="eastAsia"/>
        </w:rPr>
        <w:t>设计”</w:t>
      </w:r>
      <w:r>
        <w:rPr>
          <w:rFonts w:hint="eastAsia"/>
        </w:rPr>
        <w:t>。</w:t>
      </w:r>
    </w:p>
    <w:p w:rsidR="00A86A2C" w:rsidRDefault="00C50D3D" w:rsidP="00A86A2C">
      <w:pPr>
        <w:pStyle w:val="a5"/>
        <w:numPr>
          <w:ilvl w:val="0"/>
          <w:numId w:val="27"/>
        </w:numPr>
        <w:ind w:firstLineChars="0"/>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6" w:name="_Toc374303011"/>
      <w:r>
        <w:rPr>
          <w:rFonts w:hint="eastAsia"/>
        </w:rPr>
        <w:lastRenderedPageBreak/>
        <w:t>组件</w:t>
      </w:r>
      <w:bookmarkEnd w:id="6"/>
    </w:p>
    <w:p w:rsidR="009B460A" w:rsidRDefault="009B460A" w:rsidP="005D22B3">
      <w:pPr>
        <w:pStyle w:val="2"/>
        <w:spacing w:after="156"/>
        <w:ind w:left="420" w:hanging="420"/>
      </w:pPr>
      <w:bookmarkStart w:id="7" w:name="_Toc374303012"/>
      <w:r>
        <w:rPr>
          <w:rFonts w:hint="eastAsia"/>
        </w:rPr>
        <w:t>定义</w:t>
      </w:r>
      <w:bookmarkEnd w:id="7"/>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8" w:name="_Toc374303013"/>
      <w:r>
        <w:rPr>
          <w:rFonts w:hint="eastAsia"/>
        </w:rPr>
        <w:t>物理形式</w:t>
      </w:r>
      <w:bookmarkEnd w:id="8"/>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w:t>
      </w:r>
      <w:r w:rsidR="00CF168C">
        <w:rPr>
          <w:rFonts w:hint="eastAsia"/>
        </w:rPr>
        <w:t xml:space="preserve"> </w:t>
      </w:r>
      <w:r w:rsidR="003E5AC3" w:rsidRPr="00CA517C">
        <w:rPr>
          <w:rFonts w:hint="eastAsia"/>
          <w:i/>
        </w:rPr>
        <w:t>组件标识</w:t>
      </w:r>
      <w:r w:rsidR="00CF168C">
        <w:rPr>
          <w:rFonts w:hint="eastAsia"/>
        </w:rPr>
        <w:t xml:space="preserve"> </w:t>
      </w:r>
      <w:r w:rsidR="003E5AC3">
        <w:rPr>
          <w:rFonts w:hint="eastAsia"/>
        </w:rPr>
        <w:t>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D27CD2">
        <w:rPr>
          <w:rFonts w:cs="Calibri" w:hint="eastAsia"/>
          <w:color w:val="365F91" w:themeColor="accent1" w:themeShade="BF"/>
          <w:kern w:val="0"/>
        </w:rPr>
        <w:t>library</w:t>
      </w:r>
      <w:r w:rsidR="00A06B97" w:rsidRPr="00F22A82">
        <w:rPr>
          <w:rFonts w:ascii="宋体" w:hAnsi="宋体" w:cs="宋体"/>
          <w:color w:val="365F91" w:themeColor="accent1" w:themeShade="BF"/>
          <w:kern w:val="0"/>
        </w:rPr>
        <w:t>）</w:t>
      </w:r>
    </w:p>
    <w:p w:rsidR="00D746E4" w:rsidRDefault="00D746E4" w:rsidP="00025B3B">
      <w:pPr>
        <w:ind w:firstLine="420"/>
        <w:rPr>
          <w:color w:val="365F91" w:themeColor="accent1" w:themeShade="BF"/>
        </w:rPr>
      </w:pPr>
      <w:r w:rsidRPr="00025B3B">
        <w:rPr>
          <w:rFonts w:hint="eastAsia"/>
          <w:color w:val="365F91" w:themeColor="accent1" w:themeShade="BF"/>
        </w:rPr>
        <w:t>组件图标</w:t>
      </w:r>
      <w:r w:rsidR="007C5390" w:rsidRPr="00025B3B">
        <w:rPr>
          <w:rFonts w:hint="eastAsia"/>
          <w:color w:val="365F91" w:themeColor="accent1" w:themeShade="BF"/>
        </w:rPr>
        <w:t>组</w:t>
      </w:r>
      <w:r w:rsidRPr="00025B3B">
        <w:rPr>
          <w:rFonts w:hint="eastAsia"/>
          <w:color w:val="365F91" w:themeColor="accent1" w:themeShade="BF"/>
        </w:rPr>
        <w:t>×</w:t>
      </w:r>
      <w:r w:rsidRPr="00025B3B">
        <w:rPr>
          <w:rFonts w:hint="eastAsia"/>
          <w:color w:val="365F91" w:themeColor="accent1" w:themeShade="BF"/>
        </w:rPr>
        <w:t>1</w:t>
      </w:r>
      <w:r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文件，文件名为：</w:t>
      </w:r>
      <w:r w:rsidRPr="00CF168C">
        <w:rPr>
          <w:rFonts w:hint="eastAsia"/>
          <w:i/>
          <w:color w:val="365F91" w:themeColor="accent1" w:themeShade="BF"/>
        </w:rPr>
        <w:t>[</w:t>
      </w:r>
      <w:r w:rsidRPr="00CF168C">
        <w:rPr>
          <w:rFonts w:hint="eastAsia"/>
          <w:i/>
          <w:color w:val="365F91" w:themeColor="accent1" w:themeShade="BF"/>
        </w:rPr>
        <w:t>组件标识</w:t>
      </w:r>
      <w:r w:rsidRPr="00CF168C">
        <w:rPr>
          <w:rFonts w:hint="eastAsia"/>
          <w:i/>
          <w:color w:val="365F91" w:themeColor="accent1" w:themeShade="BF"/>
        </w:rPr>
        <w:t>]</w:t>
      </w:r>
      <w:r w:rsidRPr="00025B3B">
        <w:rPr>
          <w:rFonts w:hint="eastAsia"/>
          <w:color w:val="365F91" w:themeColor="accent1" w:themeShade="BF"/>
        </w:rPr>
        <w:t>.</w:t>
      </w:r>
      <w:r w:rsidR="007C5390" w:rsidRPr="00CF168C">
        <w:rPr>
          <w:rFonts w:hint="eastAsia"/>
          <w:i/>
          <w:color w:val="365F91" w:themeColor="accent1" w:themeShade="BF"/>
        </w:rPr>
        <w:t>[</w:t>
      </w:r>
      <w:r w:rsidR="007C5390" w:rsidRPr="00CF168C">
        <w:rPr>
          <w:rFonts w:hint="eastAsia"/>
          <w:i/>
          <w:color w:val="365F91" w:themeColor="accent1" w:themeShade="BF"/>
        </w:rPr>
        <w:t>功能标识</w:t>
      </w:r>
      <w:r w:rsidR="007C5390" w:rsidRPr="00CF168C">
        <w:rPr>
          <w:rFonts w:hint="eastAsia"/>
          <w:i/>
          <w:color w:val="365F91" w:themeColor="accent1" w:themeShade="BF"/>
        </w:rPr>
        <w:t>]</w:t>
      </w:r>
      <w:r w:rsidR="007C5390" w:rsidRPr="00025B3B">
        <w:rPr>
          <w:rFonts w:hint="eastAsia"/>
          <w:color w:val="365F91" w:themeColor="accent1" w:themeShade="BF"/>
        </w:rPr>
        <w:t>.</w:t>
      </w:r>
      <w:proofErr w:type="spellStart"/>
      <w:r w:rsidRPr="00025B3B">
        <w:rPr>
          <w:rFonts w:hint="eastAsia"/>
          <w:color w:val="365F91" w:themeColor="accent1" w:themeShade="BF"/>
        </w:rPr>
        <w:t>png</w:t>
      </w:r>
      <w:proofErr w:type="spellEnd"/>
      <w:r w:rsidRPr="00025B3B">
        <w:rPr>
          <w:rFonts w:hint="eastAsia"/>
          <w:color w:val="365F91" w:themeColor="accent1" w:themeShade="BF"/>
        </w:rPr>
        <w:t>）</w:t>
      </w:r>
    </w:p>
    <w:p w:rsidR="00CF168C" w:rsidRPr="00025B3B" w:rsidRDefault="00CF168C" w:rsidP="00025B3B">
      <w:pPr>
        <w:ind w:firstLine="420"/>
        <w:rPr>
          <w:color w:val="365F91" w:themeColor="accent1" w:themeShade="BF"/>
        </w:rPr>
      </w:pPr>
      <w:r>
        <w:rPr>
          <w:rFonts w:hint="eastAsia"/>
          <w:color w:val="365F91" w:themeColor="accent1" w:themeShade="BF"/>
        </w:rPr>
        <w:t>UI</w:t>
      </w:r>
      <w:r>
        <w:rPr>
          <w:rFonts w:hint="eastAsia"/>
          <w:color w:val="365F91" w:themeColor="accent1" w:themeShade="BF"/>
        </w:rPr>
        <w:t>方案×１（</w:t>
      </w:r>
      <w:r w:rsidR="00477BD9">
        <w:rPr>
          <w:rFonts w:hint="eastAsia"/>
          <w:color w:val="365F91" w:themeColor="accent1" w:themeShade="BF"/>
        </w:rPr>
        <w:t>XML</w:t>
      </w:r>
      <w:r w:rsidR="00477BD9">
        <w:rPr>
          <w:rFonts w:hint="eastAsia"/>
          <w:color w:val="365F91" w:themeColor="accent1" w:themeShade="BF"/>
        </w:rPr>
        <w:t>文件</w:t>
      </w:r>
      <w:r>
        <w:rPr>
          <w:rFonts w:hint="eastAsia"/>
          <w:color w:val="365F91" w:themeColor="accent1" w:themeShade="BF"/>
        </w:rPr>
        <w:t>，</w:t>
      </w:r>
      <w:r w:rsidR="00D065FF">
        <w:rPr>
          <w:rFonts w:hint="eastAsia"/>
          <w:color w:val="365F91" w:themeColor="accent1" w:themeShade="BF"/>
        </w:rPr>
        <w:t>文件名</w:t>
      </w:r>
      <w:r>
        <w:rPr>
          <w:rFonts w:hint="eastAsia"/>
          <w:color w:val="365F91" w:themeColor="accent1" w:themeShade="BF"/>
        </w:rPr>
        <w:t>为：</w:t>
      </w:r>
      <w:r w:rsidR="00D065FF" w:rsidRPr="00D065FF">
        <w:rPr>
          <w:rFonts w:hint="eastAsia"/>
          <w:i/>
          <w:color w:val="365F91" w:themeColor="accent1" w:themeShade="BF"/>
        </w:rPr>
        <w:t>[</w:t>
      </w:r>
      <w:r w:rsidR="00D065FF" w:rsidRPr="00D065FF">
        <w:rPr>
          <w:rFonts w:hint="eastAsia"/>
          <w:i/>
          <w:color w:val="365F91" w:themeColor="accent1" w:themeShade="BF"/>
        </w:rPr>
        <w:t>组件标识</w:t>
      </w:r>
      <w:r w:rsidR="00D065FF" w:rsidRPr="00D065FF">
        <w:rPr>
          <w:rFonts w:hint="eastAsia"/>
          <w:i/>
          <w:color w:val="365F91" w:themeColor="accent1" w:themeShade="BF"/>
        </w:rPr>
        <w:t>]</w:t>
      </w:r>
      <w:r w:rsidR="00D065FF">
        <w:rPr>
          <w:rFonts w:hint="eastAsia"/>
          <w:color w:val="365F91" w:themeColor="accent1" w:themeShade="BF"/>
        </w:rPr>
        <w:t>.</w:t>
      </w:r>
      <w:proofErr w:type="spellStart"/>
      <w:r>
        <w:rPr>
          <w:rFonts w:hint="eastAsia"/>
          <w:color w:val="365F91" w:themeColor="accent1" w:themeShade="BF"/>
        </w:rPr>
        <w:t>ui</w:t>
      </w:r>
      <w:proofErr w:type="spellEnd"/>
      <w:r>
        <w:rPr>
          <w:rFonts w:hint="eastAsia"/>
          <w:color w:val="365F91" w:themeColor="accent1" w:themeShade="BF"/>
        </w:rPr>
        <w:t>）</w:t>
      </w:r>
    </w:p>
    <w:p w:rsidR="00384DB9" w:rsidRPr="00F22A82" w:rsidRDefault="00384DB9" w:rsidP="00384DB9">
      <w:r>
        <w:rPr>
          <w:rFonts w:hint="eastAsia"/>
        </w:rPr>
        <w:t>另外</w:t>
      </w:r>
      <w:r w:rsidR="00D153E8">
        <w:rPr>
          <w:rFonts w:hint="eastAsia"/>
        </w:rPr>
        <w:t>，建议其他相关文件的命名按照以下规范</w:t>
      </w:r>
      <w:r w:rsidRPr="00F22A82">
        <w:t>：</w:t>
      </w:r>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4303014"/>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Pr="00820490" w:rsidRDefault="009B3EFA" w:rsidP="00820490">
      <w:pPr>
        <w:pStyle w:val="2"/>
        <w:spacing w:after="156"/>
      </w:pPr>
      <w:bookmarkStart w:id="10" w:name="_Toc374303015"/>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proofErr w:type="spellStart"/>
      <w:r w:rsidR="001045D1">
        <w:rPr>
          <w:rFonts w:cs="Calibri" w:hint="eastAsia"/>
          <w:color w:val="000000"/>
          <w:kern w:val="0"/>
        </w:rPr>
        <w:t>Vapula</w:t>
      </w:r>
      <w:proofErr w:type="spellEnd"/>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1045D1">
        <w:rPr>
          <w:rFonts w:cs="Calibri" w:hint="eastAsia"/>
          <w:color w:val="000000"/>
          <w:kern w:val="0"/>
        </w:rPr>
        <w:t>vapula</w:t>
      </w:r>
      <w:r w:rsidR="00820490">
        <w:rPr>
          <w:rFonts w:cs="Calibri" w:hint="eastAsia"/>
          <w:color w:val="000000"/>
          <w:kern w:val="0"/>
        </w:rPr>
        <w:t>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1045D1">
        <w:rPr>
          <w:rFonts w:cs="Calibri" w:hint="eastAsia"/>
          <w:color w:val="000000"/>
          <w:kern w:val="0"/>
        </w:rPr>
        <w:t>vf</w:t>
      </w:r>
      <w:r w:rsidR="009B3EFA">
        <w:rPr>
          <w:rFonts w:cs="Calibri" w:hint="eastAsia"/>
          <w:color w:val="000000"/>
          <w:kern w:val="0"/>
        </w:rPr>
        <w:t>_bridge</w:t>
      </w:r>
      <w:r w:rsidR="001045D1">
        <w:rPr>
          <w:rFonts w:cs="Calibri" w:hint="eastAsia"/>
          <w:color w:val="000000"/>
          <w:kern w:val="0"/>
        </w:rPr>
        <w:t>_x</w:t>
      </w:r>
      <w:r w:rsidR="009B3EFA">
        <w:rPr>
          <w:rFonts w:cs="Calibri" w:hint="eastAsia"/>
          <w:color w:val="000000"/>
          <w:kern w:val="0"/>
        </w:rPr>
        <w:t>.dll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E63B8F">
        <w:rPr>
          <w:rFonts w:cs="Calibri" w:hint="eastAsia"/>
          <w:color w:val="000000"/>
          <w:kern w:val="0"/>
        </w:rPr>
        <w:t>在</w:t>
      </w:r>
      <w:r w:rsidR="00E63B8F">
        <w:rPr>
          <w:rFonts w:cs="Calibri" w:hint="eastAsia"/>
          <w:color w:val="000000"/>
          <w:kern w:val="0"/>
        </w:rPr>
        <w:t>2.X</w:t>
      </w:r>
      <w:r w:rsidR="00E63B8F">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1045D1" w:rsidP="00A06B97">
      <w:pPr>
        <w:autoSpaceDE w:val="0"/>
        <w:autoSpaceDN w:val="0"/>
        <w:adjustRightInd w:val="0"/>
        <w:rPr>
          <w:rFonts w:cs="Calibri"/>
          <w:color w:val="000000"/>
          <w:kern w:val="0"/>
        </w:rPr>
      </w:pPr>
      <w:proofErr w:type="spellStart"/>
      <w:r>
        <w:rPr>
          <w:rFonts w:cs="Calibri" w:hint="eastAsia"/>
          <w:color w:val="000000"/>
          <w:kern w:val="0"/>
        </w:rPr>
        <w:t>Vapula</w:t>
      </w:r>
      <w:proofErr w:type="spellEnd"/>
      <w:r w:rsidR="00A06B97">
        <w:rPr>
          <w:rFonts w:cs="Calibri" w:hint="eastAsia"/>
          <w:color w:val="000000"/>
          <w:kern w:val="0"/>
        </w:rPr>
        <w:t>的所有功能都封装在“</w:t>
      </w:r>
      <w:proofErr w:type="spellStart"/>
      <w:r>
        <w:rPr>
          <w:rFonts w:cs="Calibri" w:hint="eastAsia"/>
          <w:color w:val="000000"/>
          <w:kern w:val="0"/>
        </w:rPr>
        <w:t>vapula</w:t>
      </w:r>
      <w:proofErr w:type="spellEnd"/>
      <w:r w:rsidR="00A06B97">
        <w:rPr>
          <w:rFonts w:cs="Calibri" w:hint="eastAsia"/>
          <w:color w:val="000000"/>
          <w:kern w:val="0"/>
        </w:rPr>
        <w:t>”</w:t>
      </w:r>
      <w:r w:rsidR="00E63B8F">
        <w:rPr>
          <w:rFonts w:cs="Calibri" w:hint="eastAsia"/>
          <w:color w:val="000000"/>
          <w:kern w:val="0"/>
        </w:rPr>
        <w:t>或“</w:t>
      </w:r>
      <w:proofErr w:type="spellStart"/>
      <w:r>
        <w:rPr>
          <w:rFonts w:cs="Calibri" w:hint="eastAsia"/>
          <w:color w:val="000000"/>
          <w:kern w:val="0"/>
        </w:rPr>
        <w:t>Vapula</w:t>
      </w:r>
      <w:proofErr w:type="spellEnd"/>
      <w:r w:rsidR="00E63B8F">
        <w:rPr>
          <w:rFonts w:cs="Calibri" w:hint="eastAsia"/>
          <w:color w:val="000000"/>
          <w:kern w:val="0"/>
        </w:rPr>
        <w:t>”</w:t>
      </w:r>
      <w:r w:rsidR="00A06B97">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A5304" w:rsidRDefault="0066396C" w:rsidP="00A06B97">
      <w:pPr>
        <w:autoSpaceDE w:val="0"/>
        <w:autoSpaceDN w:val="0"/>
        <w:adjustRightInd w:val="0"/>
        <w:rPr>
          <w:rFonts w:cs="Calibri"/>
          <w:color w:val="000000"/>
          <w:kern w:val="0"/>
        </w:rPr>
      </w:pPr>
      <w:r>
        <w:rPr>
          <w:rFonts w:cs="Calibri" w:hint="eastAsia"/>
          <w:color w:val="000000"/>
          <w:kern w:val="0"/>
        </w:rPr>
        <w:t>强烈建议支持</w:t>
      </w:r>
      <w:r>
        <w:rPr>
          <w:rFonts w:cs="Calibri" w:hint="eastAsia"/>
          <w:color w:val="000000"/>
          <w:kern w:val="0"/>
        </w:rPr>
        <w:t>Unicode</w:t>
      </w:r>
      <w:r w:rsidR="001045D1">
        <w:rPr>
          <w:rFonts w:cs="Calibri" w:hint="eastAsia"/>
          <w:color w:val="000000"/>
          <w:kern w:val="0"/>
        </w:rPr>
        <w:t>，</w:t>
      </w:r>
      <w:proofErr w:type="spellStart"/>
      <w:r w:rsidR="001045D1">
        <w:rPr>
          <w:rFonts w:cs="Calibri" w:hint="eastAsia"/>
          <w:color w:val="000000"/>
          <w:kern w:val="0"/>
        </w:rPr>
        <w:t>Vapula</w:t>
      </w:r>
      <w:proofErr w:type="spellEnd"/>
      <w:r w:rsidR="001045D1">
        <w:rPr>
          <w:rFonts w:cs="Calibri" w:hint="eastAsia"/>
          <w:color w:val="000000"/>
          <w:kern w:val="0"/>
        </w:rPr>
        <w:t>提供良好的</w:t>
      </w:r>
      <w:r w:rsidR="006A5304">
        <w:rPr>
          <w:rFonts w:cs="Calibri" w:hint="eastAsia"/>
          <w:color w:val="000000"/>
          <w:kern w:val="0"/>
        </w:rPr>
        <w:t>Unicode</w:t>
      </w:r>
      <w:r w:rsidR="001045D1">
        <w:rPr>
          <w:rFonts w:cs="Calibri" w:hint="eastAsia"/>
          <w:color w:val="000000"/>
          <w:kern w:val="0"/>
        </w:rPr>
        <w:t>支持</w:t>
      </w:r>
      <w:r w:rsidR="006A5304">
        <w:rPr>
          <w:rFonts w:cs="Calibri" w:hint="eastAsia"/>
          <w:color w:val="000000"/>
          <w:kern w:val="0"/>
        </w:rPr>
        <w:t>。</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4303016"/>
      <w:r w:rsidRPr="00820490">
        <w:rPr>
          <w:rFonts w:hint="eastAsia"/>
        </w:rPr>
        <w:lastRenderedPageBreak/>
        <w:t>接口规范</w:t>
      </w:r>
      <w:bookmarkEnd w:id="11"/>
    </w:p>
    <w:p w:rsidR="00DE4608" w:rsidRDefault="00DE4608" w:rsidP="00DE4608">
      <w:r>
        <w:rPr>
          <w:rFonts w:hint="eastAsia"/>
        </w:rPr>
        <w:t>由于</w:t>
      </w:r>
      <w:r>
        <w:rPr>
          <w:rFonts w:hint="eastAsia"/>
        </w:rPr>
        <w:t>TCM</w:t>
      </w:r>
      <w:r w:rsidR="001045D1">
        <w:rPr>
          <w:rFonts w:hint="eastAsia"/>
        </w:rPr>
        <w:t>范式</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proofErr w:type="spellStart"/>
      <w:r w:rsidR="0007792D">
        <w:rPr>
          <w:rFonts w:hint="eastAsia"/>
        </w:rPr>
        <w:t>Vapula</w:t>
      </w:r>
      <w:proofErr w:type="spellEnd"/>
      <w:r>
        <w:rPr>
          <w:rFonts w:hint="eastAsia"/>
        </w:rPr>
        <w:t>定义的返回</w:t>
      </w:r>
      <w:r w:rsidR="00543A45">
        <w:rPr>
          <w:rFonts w:hint="eastAsia"/>
        </w:rPr>
        <w:t>码</w:t>
      </w:r>
      <w:r>
        <w:rPr>
          <w:rFonts w:hint="eastAsia"/>
        </w:rPr>
        <w:t>。</w:t>
      </w:r>
    </w:p>
    <w:p w:rsidR="00CC726D" w:rsidRPr="00CC726D" w:rsidRDefault="0007792D" w:rsidP="00CC726D">
      <w:r>
        <w:rPr>
          <w:rFonts w:hint="eastAsia"/>
        </w:rPr>
        <w:t>请注意，入口点</w:t>
      </w:r>
      <w:r w:rsidR="00CC726D">
        <w:rPr>
          <w:rFonts w:hint="eastAsia"/>
        </w:rPr>
        <w:t>所提供的返回码在</w:t>
      </w:r>
      <w:r w:rsidR="00CC726D" w:rsidRPr="00CC726D">
        <w:rPr>
          <w:rFonts w:hint="eastAsia"/>
          <w:color w:val="FF0000"/>
        </w:rPr>
        <w:t>仅起到建议的作用</w:t>
      </w:r>
      <w:r w:rsidR="00CC726D">
        <w:rPr>
          <w:rFonts w:hint="eastAsia"/>
        </w:rPr>
        <w:t>。</w:t>
      </w:r>
    </w:p>
    <w:p w:rsidR="00CC726D" w:rsidRPr="0007792D" w:rsidRDefault="00CC726D" w:rsidP="00DE4608">
      <w:pPr>
        <w:autoSpaceDE w:val="0"/>
        <w:autoSpaceDN w:val="0"/>
        <w:adjustRightInd w:val="0"/>
        <w:rPr>
          <w:rFonts w:ascii="宋体" w:hAnsi="宋体" w:cs="宋体"/>
          <w:color w:val="000000"/>
          <w:kern w:val="0"/>
        </w:rPr>
      </w:pPr>
    </w:p>
    <w:p w:rsidR="00CC726D" w:rsidRPr="00FD0B40" w:rsidRDefault="0007792D" w:rsidP="00CC726D">
      <w:pPr>
        <w:autoSpaceDE w:val="0"/>
        <w:autoSpaceDN w:val="0"/>
        <w:adjustRightInd w:val="0"/>
        <w:rPr>
          <w:rFonts w:cs="宋体"/>
          <w:color w:val="000000"/>
          <w:kern w:val="0"/>
        </w:rPr>
      </w:pPr>
      <w:proofErr w:type="spellStart"/>
      <w:r>
        <w:rPr>
          <w:rFonts w:cs="宋体" w:hint="eastAsia"/>
          <w:color w:val="000000"/>
          <w:kern w:val="0"/>
        </w:rPr>
        <w:t>Vapula</w:t>
      </w:r>
      <w:proofErr w:type="spellEnd"/>
      <w:r w:rsidR="00543A45">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sidR="00543A45">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sidR="00543A45">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proofErr w:type="spellStart"/>
      <w:r w:rsidR="0007792D">
        <w:rPr>
          <w:rFonts w:cs="宋体" w:hint="eastAsia"/>
          <w:color w:val="000000"/>
          <w:kern w:val="0"/>
        </w:rPr>
        <w:t>Vapula</w:t>
      </w:r>
      <w:proofErr w:type="spellEnd"/>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211B46">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proofErr w:type="spellStart"/>
            <w:r w:rsidR="00211B46">
              <w:rPr>
                <w:rFonts w:cs="Calibri" w:hint="eastAsia"/>
                <w:color w:val="000000"/>
                <w:kern w:val="0"/>
                <w:sz w:val="20"/>
                <w:szCs w:val="20"/>
              </w:rPr>
              <w:t>Vapula</w:t>
            </w:r>
            <w:proofErr w:type="spellEnd"/>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4303017"/>
      <w:r>
        <w:rPr>
          <w:rFonts w:hint="eastAsia"/>
        </w:rPr>
        <w:lastRenderedPageBreak/>
        <w:t>C++</w:t>
      </w:r>
      <w:r>
        <w:rPr>
          <w:rFonts w:hint="eastAsia"/>
        </w:rPr>
        <w:t>组件</w:t>
      </w:r>
      <w:bookmarkEnd w:id="12"/>
    </w:p>
    <w:p w:rsidR="00C859DE"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sidR="00C859DE">
        <w:rPr>
          <w:rFonts w:hint="eastAsia"/>
        </w:rPr>
        <w:t>。</w:t>
      </w:r>
    </w:p>
    <w:p w:rsidR="009759D0" w:rsidRDefault="00C859DE" w:rsidP="00EF5E48">
      <w:r>
        <w:rPr>
          <w:rFonts w:hint="eastAsia"/>
        </w:rPr>
        <w:t>可以指定入口函数</w:t>
      </w:r>
      <w:r w:rsidR="009759D0">
        <w:rPr>
          <w:rFonts w:hint="eastAsia"/>
        </w:rPr>
        <w:t>的命名，默认的命名</w:t>
      </w:r>
      <w:r w:rsidR="00EC31B6">
        <w:rPr>
          <w:rFonts w:hint="eastAsia"/>
        </w:rPr>
        <w:t>是</w:t>
      </w:r>
      <w:r w:rsidR="009759D0" w:rsidRPr="00EC31B6">
        <w:rPr>
          <w:rFonts w:hint="eastAsia"/>
        </w:rPr>
        <w:t>“</w:t>
      </w:r>
      <w:r w:rsidR="009759D0" w:rsidRPr="009759D0">
        <w:rPr>
          <w:rFonts w:hint="eastAsia"/>
          <w:b/>
        </w:rPr>
        <w:t>Run</w:t>
      </w:r>
      <w:r w:rsidR="009759D0" w:rsidRPr="00EC31B6">
        <w:rPr>
          <w:rFonts w:hint="eastAsia"/>
        </w:rPr>
        <w:t>”</w:t>
      </w:r>
      <w:r w:rsidR="009759D0">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0003089B">
        <w:rPr>
          <w:rFonts w:cs="Calibri" w:hint="eastAsia"/>
          <w:b/>
          <w:bCs/>
          <w:i/>
          <w:iCs/>
          <w:color w:val="000000"/>
          <w:kern w:val="0"/>
        </w:rPr>
        <w:t>[NAME]</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004274E9">
              <w:rPr>
                <w:rFonts w:ascii="Consolas" w:eastAsia="新宋体" w:hAnsi="Consolas" w:cs="Consolas" w:hint="eastAsia"/>
                <w:color w:val="C00000"/>
                <w:spacing w:val="6"/>
                <w:kern w:val="0"/>
                <w:sz w:val="18"/>
                <w:szCs w:val="18"/>
              </w:rPr>
              <w:t>vf</w:t>
            </w:r>
            <w:r w:rsidRPr="00794944">
              <w:rPr>
                <w:rFonts w:ascii="Consolas" w:eastAsia="新宋体" w:hAnsi="Consolas" w:cs="Consolas"/>
                <w:color w:val="C00000"/>
                <w:spacing w:val="6"/>
                <w:kern w:val="0"/>
                <w:sz w:val="18"/>
                <w:szCs w:val="18"/>
              </w:rPr>
              <w:t>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004274E9">
              <w:rPr>
                <w:rFonts w:ascii="Consolas" w:eastAsia="新宋体" w:hAnsi="Consolas" w:cs="Consolas" w:hint="eastAsia"/>
                <w:color w:val="C00000"/>
                <w:spacing w:val="6"/>
                <w:kern w:val="0"/>
                <w:sz w:val="18"/>
                <w:szCs w:val="18"/>
              </w:rPr>
              <w:t>vapula</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4303018"/>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w:t>
      </w:r>
      <w:r w:rsidR="00EC31B6">
        <w:rPr>
          <w:rFonts w:hint="eastAsia"/>
        </w:rPr>
        <w:t>一个</w:t>
      </w:r>
      <w:r>
        <w:rPr>
          <w:rFonts w:hint="eastAsia"/>
        </w:rPr>
        <w:t>公有类中。</w:t>
      </w:r>
    </w:p>
    <w:p w:rsidR="00EC31B6" w:rsidRDefault="00EC31B6" w:rsidP="006E0B80">
      <w:r>
        <w:rPr>
          <w:rFonts w:hint="eastAsia"/>
        </w:rPr>
        <w:t>可以指定公有类和入口</w:t>
      </w:r>
      <w:r w:rsidR="00C859DE">
        <w:rPr>
          <w:rFonts w:hint="eastAsia"/>
        </w:rPr>
        <w:t>方法的</w:t>
      </w:r>
      <w:r>
        <w:rPr>
          <w:rFonts w:hint="eastAsia"/>
        </w:rPr>
        <w:t>命名</w:t>
      </w:r>
      <w:r w:rsidR="00C859DE">
        <w:rPr>
          <w:rFonts w:hint="eastAsia"/>
        </w:rPr>
        <w:t>，默认的命名是“</w:t>
      </w:r>
      <w:proofErr w:type="spellStart"/>
      <w:r w:rsidR="00C859DE" w:rsidRPr="00C859DE">
        <w:rPr>
          <w:rFonts w:hint="eastAsia"/>
          <w:b/>
        </w:rPr>
        <w:t>Program.Run</w:t>
      </w:r>
      <w:proofErr w:type="spellEnd"/>
      <w:r w:rsidR="00C859DE">
        <w:rPr>
          <w:rFonts w:hint="eastAsia"/>
        </w:rPr>
        <w:t>”。</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003E038B">
        <w:rPr>
          <w:rFonts w:cs="Calibri" w:hint="eastAsia"/>
          <w:b/>
          <w:bCs/>
          <w:i/>
          <w:iCs/>
          <w:color w:val="000000"/>
          <w:kern w:val="0"/>
        </w:rPr>
        <w:t>[NAME]</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004274E9">
              <w:rPr>
                <w:rFonts w:ascii="Consolas" w:eastAsia="新宋体" w:hAnsi="Consolas" w:cs="Consolas" w:hint="eastAsia"/>
                <w:color w:val="C00000"/>
                <w:spacing w:val="6"/>
                <w:kern w:val="0"/>
                <w:sz w:val="18"/>
                <w:szCs w:val="18"/>
              </w:rPr>
              <w:t>Vapula</w:t>
            </w:r>
            <w:r w:rsidRPr="0024566C">
              <w:rPr>
                <w:rFonts w:ascii="Consolas" w:eastAsia="新宋体" w:hAnsi="Consolas" w:cs="Consolas"/>
                <w:color w:val="C00000"/>
                <w:spacing w:val="6"/>
                <w:kern w:val="0"/>
                <w:sz w:val="18"/>
                <w:szCs w:val="18"/>
              </w:rPr>
              <w:t>.Runtime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4303019"/>
      <w:r>
        <w:rPr>
          <w:rFonts w:hint="eastAsia"/>
        </w:rPr>
        <w:lastRenderedPageBreak/>
        <w:t>避免重复异步</w:t>
      </w:r>
      <w:bookmarkEnd w:id="14"/>
    </w:p>
    <w:p w:rsidR="00F4059B" w:rsidRDefault="00F4059B" w:rsidP="00F4059B">
      <w:r>
        <w:rPr>
          <w:rFonts w:hint="eastAsia"/>
        </w:rPr>
        <w:t>TCM</w:t>
      </w:r>
      <w:r w:rsidR="007B76CD">
        <w:rPr>
          <w:rFonts w:hint="eastAsia"/>
        </w:rPr>
        <w:t>范式</w:t>
      </w:r>
      <w:r w:rsidR="00951C39">
        <w:rPr>
          <w:rFonts w:hint="eastAsia"/>
        </w:rPr>
        <w:t>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proofErr w:type="spellStart"/>
      <w:r w:rsidR="00EB1F7C">
        <w:rPr>
          <w:rFonts w:hint="eastAsia"/>
        </w:rPr>
        <w:t>Vapula</w:t>
      </w:r>
      <w:proofErr w:type="spellEnd"/>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proofErr w:type="spellStart"/>
      <w:r w:rsidR="00EB1F7C">
        <w:rPr>
          <w:rFonts w:cs="宋体" w:hint="eastAsia"/>
          <w:color w:val="17365D" w:themeColor="text2" w:themeShade="BF"/>
          <w:kern w:val="0"/>
          <w:sz w:val="20"/>
        </w:rPr>
        <w:t>Vapula</w:t>
      </w:r>
      <w:proofErr w:type="spellEnd"/>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4303020"/>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7B76CD">
        <w:rPr>
          <w:rFonts w:cs="宋体" w:hint="eastAsia"/>
          <w:color w:val="000000"/>
          <w:kern w:val="0"/>
        </w:rPr>
        <w:t>范式</w:t>
      </w:r>
      <w:r w:rsidR="004714DE">
        <w:rPr>
          <w:rFonts w:cs="宋体" w:hint="eastAsia"/>
          <w:color w:val="000000"/>
          <w:kern w:val="0"/>
        </w:rPr>
        <w:t>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proofErr w:type="spellStart"/>
      <w:r w:rsidR="00EB1F7C">
        <w:rPr>
          <w:rFonts w:cs="宋体" w:hint="eastAsia"/>
          <w:color w:val="000000"/>
          <w:kern w:val="0"/>
        </w:rPr>
        <w:t>Vapula</w:t>
      </w:r>
      <w:proofErr w:type="spellEnd"/>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proofErr w:type="spellStart"/>
      <w:r w:rsidR="00EB1F7C">
        <w:rPr>
          <w:rFonts w:cs="宋体" w:hint="eastAsia"/>
          <w:color w:val="000000"/>
          <w:kern w:val="0"/>
        </w:rPr>
        <w:t>Vapula</w:t>
      </w:r>
      <w:proofErr w:type="spellEnd"/>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D13B84">
              <w:rPr>
                <w:rFonts w:ascii="Consolas" w:eastAsia="新宋体" w:hAnsi="Consolas" w:cs="Consolas"/>
                <w:color w:val="C00000"/>
                <w:spacing w:val="6"/>
                <w:kern w:val="0"/>
                <w:sz w:val="18"/>
                <w:szCs w:val="18"/>
              </w:rPr>
              <w:t>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00EB1F7C">
              <w:rPr>
                <w:rFonts w:ascii="Consolas" w:eastAsia="新宋体" w:hAnsi="Consolas" w:cs="Consolas" w:hint="eastAsia"/>
                <w:color w:val="C00000"/>
                <w:spacing w:val="6"/>
                <w:kern w:val="0"/>
                <w:sz w:val="18"/>
                <w:szCs w:val="18"/>
              </w:rPr>
              <w:t>VF</w:t>
            </w:r>
            <w:r w:rsidRPr="00B91124">
              <w:rPr>
                <w:rFonts w:ascii="Consolas" w:eastAsia="新宋体" w:hAnsi="Consolas" w:cs="Consolas"/>
                <w:color w:val="C00000"/>
                <w:spacing w:val="6"/>
                <w:kern w:val="0"/>
                <w:sz w:val="18"/>
                <w:szCs w:val="18"/>
              </w:rPr>
              <w:t>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4303021"/>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proofErr w:type="spellStart"/>
      <w:r w:rsidR="00EB1F7C">
        <w:rPr>
          <w:rFonts w:cs="Calibri" w:hint="eastAsia"/>
          <w:color w:val="000000"/>
          <w:kern w:val="0"/>
        </w:rPr>
        <w:t>Vapula</w:t>
      </w:r>
      <w:proofErr w:type="spellEnd"/>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proofErr w:type="spellStart"/>
      <w:r w:rsidR="00EB1F7C">
        <w:rPr>
          <w:rFonts w:cs="Calibri" w:hint="eastAsia"/>
          <w:color w:val="000000"/>
          <w:kern w:val="0"/>
        </w:rPr>
        <w:t>Vapula</w:t>
      </w:r>
      <w:proofErr w:type="spellEnd"/>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proofErr w:type="spellStart"/>
      <w:r w:rsidR="00514921">
        <w:rPr>
          <w:rFonts w:cs="Calibri" w:hint="eastAsia"/>
          <w:color w:val="000000"/>
          <w:kern w:val="0"/>
        </w:rPr>
        <w:t>Vapula</w:t>
      </w:r>
      <w:proofErr w:type="spellEnd"/>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7B76CD" w:rsidRDefault="00A06B97" w:rsidP="00A06B97">
      <w:pPr>
        <w:autoSpaceDE w:val="0"/>
        <w:autoSpaceDN w:val="0"/>
        <w:adjustRightInd w:val="0"/>
        <w:rPr>
          <w:rFonts w:ascii="宋体" w:hAnsi="宋体" w:cs="宋体"/>
        </w:rPr>
      </w:pPr>
      <w:r>
        <w:t>TCM</w:t>
      </w:r>
      <w:r w:rsidR="007B76CD">
        <w:rPr>
          <w:rFonts w:ascii="宋体" w:hAnsi="宋体" w:cs="宋体" w:hint="eastAsia"/>
        </w:rPr>
        <w:t>范式要求支持</w:t>
      </w:r>
      <w:r>
        <w:rPr>
          <w:rFonts w:ascii="宋体" w:hAnsi="宋体" w:cs="宋体"/>
        </w:rPr>
        <w:t>全部数据类型</w:t>
      </w:r>
      <w:r w:rsidR="00A405D5">
        <w:rPr>
          <w:rFonts w:ascii="宋体" w:hAnsi="宋体" w:cs="宋体" w:hint="eastAsia"/>
        </w:rPr>
        <w:t>，</w:t>
      </w:r>
      <w:proofErr w:type="gramStart"/>
      <w:r w:rsidR="007B76CD">
        <w:rPr>
          <w:rFonts w:ascii="宋体" w:hAnsi="宋体" w:cs="宋体" w:hint="eastAsia"/>
        </w:rPr>
        <w:t>包括值</w:t>
      </w:r>
      <w:proofErr w:type="gramEnd"/>
      <w:r w:rsidR="007B76CD">
        <w:rPr>
          <w:rFonts w:ascii="宋体" w:hAnsi="宋体" w:cs="宋体" w:hint="eastAsia"/>
        </w:rPr>
        <w:t>类型、结构化类型和内存块。</w:t>
      </w:r>
    </w:p>
    <w:p w:rsidR="00A405D5" w:rsidRDefault="007B76CD" w:rsidP="007B76CD">
      <w:proofErr w:type="spellStart"/>
      <w:r>
        <w:rPr>
          <w:rFonts w:hint="eastAsia"/>
        </w:rPr>
        <w:t>Vapula</w:t>
      </w:r>
      <w:proofErr w:type="spellEnd"/>
      <w:r>
        <w:rPr>
          <w:rFonts w:hint="eastAsia"/>
        </w:rPr>
        <w:t>框架目前已支持值类型</w:t>
      </w:r>
      <w:r w:rsidR="00A405D5">
        <w:rPr>
          <w:rFonts w:hint="eastAsia"/>
        </w:rPr>
        <w:t>。</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000000"/>
                <w:kern w:val="0"/>
                <w:sz w:val="18"/>
                <w:szCs w:val="18"/>
              </w:rPr>
              <w:t xml:space="preserve"> </w:t>
            </w:r>
            <w:r w:rsidR="007B76CD">
              <w:rPr>
                <w:rFonts w:ascii="Consolas" w:eastAsia="新宋体" w:hAnsi="Consolas" w:cs="Consolas" w:hint="eastAsia"/>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8F7DCB" w:rsidRDefault="008F7DCB">
      <w:pPr>
        <w:spacing w:before="-1" w:after="-1"/>
      </w:pPr>
      <w:r>
        <w:br w:type="page"/>
      </w:r>
    </w:p>
    <w:p w:rsidR="008F7DCB" w:rsidRDefault="00514ACD" w:rsidP="008F7DCB">
      <w:pPr>
        <w:pStyle w:val="1"/>
        <w:spacing w:after="312"/>
      </w:pPr>
      <w:r>
        <w:rPr>
          <w:rFonts w:hint="eastAsia"/>
        </w:rPr>
        <w:lastRenderedPageBreak/>
        <w:t>AOP</w:t>
      </w:r>
    </w:p>
    <w:p w:rsidR="008F7DCB" w:rsidRDefault="008F7DCB" w:rsidP="008F7DCB">
      <w:pPr>
        <w:pStyle w:val="2"/>
        <w:spacing w:after="156"/>
        <w:ind w:left="420" w:hanging="420"/>
      </w:pPr>
      <w:r>
        <w:rPr>
          <w:rFonts w:hint="eastAsia"/>
        </w:rPr>
        <w:t>定义</w:t>
      </w:r>
    </w:p>
    <w:p w:rsidR="008F7DCB" w:rsidRPr="0049694C" w:rsidRDefault="008F7DCB" w:rsidP="008F7DCB"/>
    <w:p w:rsidR="008F7DCB" w:rsidRPr="00330648" w:rsidRDefault="008F7DCB" w:rsidP="008F7DCB">
      <w:pPr>
        <w:pStyle w:val="2"/>
        <w:spacing w:after="156"/>
        <w:ind w:left="420" w:hanging="420"/>
      </w:pPr>
      <w:r>
        <w:rPr>
          <w:rFonts w:hint="eastAsia"/>
        </w:rPr>
        <w:t>物理形式</w:t>
      </w:r>
    </w:p>
    <w:p w:rsidR="00F05FB8" w:rsidRPr="008F7DCB"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16A" w:rsidRDefault="0037616A" w:rsidP="009B427D">
      <w:r>
        <w:separator/>
      </w:r>
    </w:p>
  </w:endnote>
  <w:endnote w:type="continuationSeparator" w:id="0">
    <w:p w:rsidR="0037616A" w:rsidRDefault="0037616A"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624" w:rsidRDefault="00FC0624"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624" w:rsidRDefault="00FC0624"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816783"/>
      <w:docPartObj>
        <w:docPartGallery w:val="Page Numbers (Bottom of Page)"/>
        <w:docPartUnique/>
      </w:docPartObj>
    </w:sdtPr>
    <w:sdtContent>
      <w:p w:rsidR="00FC0624" w:rsidRDefault="00FC0624" w:rsidP="0062391A">
        <w:pPr>
          <w:pStyle w:val="a4"/>
          <w:jc w:val="right"/>
        </w:pPr>
        <w:r>
          <w:fldChar w:fldCharType="begin"/>
        </w:r>
        <w:r>
          <w:instrText>PAGE   \* MERGEFORMAT</w:instrText>
        </w:r>
        <w:r>
          <w:fldChar w:fldCharType="separate"/>
        </w:r>
        <w:r w:rsidR="00FE26A1" w:rsidRPr="00FE26A1">
          <w:rPr>
            <w:noProof/>
            <w:lang w:val="zh-CN"/>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16A" w:rsidRDefault="0037616A" w:rsidP="009B427D">
      <w:r>
        <w:separator/>
      </w:r>
    </w:p>
  </w:footnote>
  <w:footnote w:type="continuationSeparator" w:id="0">
    <w:p w:rsidR="0037616A" w:rsidRDefault="0037616A"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25B3B"/>
    <w:rsid w:val="0003089B"/>
    <w:rsid w:val="0003098B"/>
    <w:rsid w:val="00032151"/>
    <w:rsid w:val="00034DE6"/>
    <w:rsid w:val="000361FE"/>
    <w:rsid w:val="00037704"/>
    <w:rsid w:val="00041150"/>
    <w:rsid w:val="00045C51"/>
    <w:rsid w:val="00052424"/>
    <w:rsid w:val="00052FB7"/>
    <w:rsid w:val="0005652C"/>
    <w:rsid w:val="00061818"/>
    <w:rsid w:val="00061940"/>
    <w:rsid w:val="00066F0F"/>
    <w:rsid w:val="0007792D"/>
    <w:rsid w:val="0008303A"/>
    <w:rsid w:val="00084028"/>
    <w:rsid w:val="00092EC7"/>
    <w:rsid w:val="000B2ACE"/>
    <w:rsid w:val="000C1275"/>
    <w:rsid w:val="000C2582"/>
    <w:rsid w:val="000C347A"/>
    <w:rsid w:val="000C6063"/>
    <w:rsid w:val="000C7E65"/>
    <w:rsid w:val="000D01CE"/>
    <w:rsid w:val="000D0602"/>
    <w:rsid w:val="000D3A34"/>
    <w:rsid w:val="000D3F19"/>
    <w:rsid w:val="000D73DF"/>
    <w:rsid w:val="000E64FC"/>
    <w:rsid w:val="000E76D0"/>
    <w:rsid w:val="000E7803"/>
    <w:rsid w:val="000F0414"/>
    <w:rsid w:val="001045D1"/>
    <w:rsid w:val="001065FC"/>
    <w:rsid w:val="00106853"/>
    <w:rsid w:val="00110FB3"/>
    <w:rsid w:val="00112789"/>
    <w:rsid w:val="00112E55"/>
    <w:rsid w:val="0011593A"/>
    <w:rsid w:val="00115DC3"/>
    <w:rsid w:val="001233B0"/>
    <w:rsid w:val="00126816"/>
    <w:rsid w:val="00131116"/>
    <w:rsid w:val="00132374"/>
    <w:rsid w:val="00136024"/>
    <w:rsid w:val="0013628B"/>
    <w:rsid w:val="00136334"/>
    <w:rsid w:val="0014140B"/>
    <w:rsid w:val="00142917"/>
    <w:rsid w:val="00144084"/>
    <w:rsid w:val="0014624D"/>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1B46"/>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336D"/>
    <w:rsid w:val="00326CB5"/>
    <w:rsid w:val="00327AD4"/>
    <w:rsid w:val="00330648"/>
    <w:rsid w:val="003315D4"/>
    <w:rsid w:val="00334137"/>
    <w:rsid w:val="003352A0"/>
    <w:rsid w:val="00342F6F"/>
    <w:rsid w:val="00344D15"/>
    <w:rsid w:val="003530E2"/>
    <w:rsid w:val="003604B6"/>
    <w:rsid w:val="00373AB3"/>
    <w:rsid w:val="00373EB9"/>
    <w:rsid w:val="0037616A"/>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4F30"/>
    <w:rsid w:val="003D7190"/>
    <w:rsid w:val="003E038B"/>
    <w:rsid w:val="003E1DC5"/>
    <w:rsid w:val="003E4A32"/>
    <w:rsid w:val="003E5AC3"/>
    <w:rsid w:val="003E7259"/>
    <w:rsid w:val="00405AFF"/>
    <w:rsid w:val="00406BE2"/>
    <w:rsid w:val="00407727"/>
    <w:rsid w:val="00410B19"/>
    <w:rsid w:val="0041206D"/>
    <w:rsid w:val="00417868"/>
    <w:rsid w:val="00417B6C"/>
    <w:rsid w:val="00417FBC"/>
    <w:rsid w:val="004253B8"/>
    <w:rsid w:val="004274E9"/>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77BD9"/>
    <w:rsid w:val="00483590"/>
    <w:rsid w:val="00492708"/>
    <w:rsid w:val="00493230"/>
    <w:rsid w:val="004954D3"/>
    <w:rsid w:val="0049694C"/>
    <w:rsid w:val="004B435B"/>
    <w:rsid w:val="004B772C"/>
    <w:rsid w:val="004D5356"/>
    <w:rsid w:val="004E1107"/>
    <w:rsid w:val="004E31BA"/>
    <w:rsid w:val="004E5554"/>
    <w:rsid w:val="004F076D"/>
    <w:rsid w:val="004F07CC"/>
    <w:rsid w:val="004F750F"/>
    <w:rsid w:val="004F7EE4"/>
    <w:rsid w:val="00514034"/>
    <w:rsid w:val="0051477F"/>
    <w:rsid w:val="00514921"/>
    <w:rsid w:val="00514ACD"/>
    <w:rsid w:val="0051767A"/>
    <w:rsid w:val="00520664"/>
    <w:rsid w:val="00520E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42E9"/>
    <w:rsid w:val="00636DC2"/>
    <w:rsid w:val="006404E6"/>
    <w:rsid w:val="00640A38"/>
    <w:rsid w:val="006460F5"/>
    <w:rsid w:val="00651047"/>
    <w:rsid w:val="006519B0"/>
    <w:rsid w:val="0065484E"/>
    <w:rsid w:val="00654F57"/>
    <w:rsid w:val="006565EB"/>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3DA4"/>
    <w:rsid w:val="006A5304"/>
    <w:rsid w:val="006B0A80"/>
    <w:rsid w:val="006B10C7"/>
    <w:rsid w:val="006B1A13"/>
    <w:rsid w:val="006B25E6"/>
    <w:rsid w:val="006C09D8"/>
    <w:rsid w:val="006C1088"/>
    <w:rsid w:val="006C238D"/>
    <w:rsid w:val="006C48B9"/>
    <w:rsid w:val="006C695A"/>
    <w:rsid w:val="006D5562"/>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2796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B76CD"/>
    <w:rsid w:val="007C5258"/>
    <w:rsid w:val="007C5390"/>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46BE"/>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DCB"/>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728CE"/>
    <w:rsid w:val="009759D0"/>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0838"/>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AF449D"/>
    <w:rsid w:val="00AF7B99"/>
    <w:rsid w:val="00B0175B"/>
    <w:rsid w:val="00B10CCC"/>
    <w:rsid w:val="00B15D38"/>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859DE"/>
    <w:rsid w:val="00C9467B"/>
    <w:rsid w:val="00C972CA"/>
    <w:rsid w:val="00C97BFE"/>
    <w:rsid w:val="00CA073A"/>
    <w:rsid w:val="00CA517C"/>
    <w:rsid w:val="00CB361C"/>
    <w:rsid w:val="00CB611D"/>
    <w:rsid w:val="00CC726D"/>
    <w:rsid w:val="00CE07B2"/>
    <w:rsid w:val="00CE0B70"/>
    <w:rsid w:val="00CE511C"/>
    <w:rsid w:val="00CE62E1"/>
    <w:rsid w:val="00CE74E3"/>
    <w:rsid w:val="00CF0005"/>
    <w:rsid w:val="00CF0A41"/>
    <w:rsid w:val="00CF1113"/>
    <w:rsid w:val="00CF168C"/>
    <w:rsid w:val="00CF7C7C"/>
    <w:rsid w:val="00D038AD"/>
    <w:rsid w:val="00D065FF"/>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746E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B1F7C"/>
    <w:rsid w:val="00EC31B6"/>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0624"/>
    <w:rsid w:val="00FC38AA"/>
    <w:rsid w:val="00FC48F2"/>
    <w:rsid w:val="00FD0790"/>
    <w:rsid w:val="00FD0B40"/>
    <w:rsid w:val="00FE0FE1"/>
    <w:rsid w:val="00FE1AB6"/>
    <w:rsid w:val="00FE26A1"/>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FF5021-09CF-467F-8057-CCB2D0558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sartrey/vapula"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51EA9-96C7-4EFA-92F2-B3C2FE30F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26</Pages>
  <Words>1817</Words>
  <Characters>10358</Characters>
  <Application>Microsoft Office Word</Application>
  <DocSecurity>0</DocSecurity>
  <Lines>86</Lines>
  <Paragraphs>24</Paragraphs>
  <ScaleCrop>false</ScaleCrop>
  <Company>Microsoft</Company>
  <LinksUpToDate>false</LinksUpToDate>
  <CharactersWithSpaces>12151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Sartrey Lee</cp:lastModifiedBy>
  <cp:revision>641</cp:revision>
  <cp:lastPrinted>2013-11-06T09:04:00Z</cp:lastPrinted>
  <dcterms:created xsi:type="dcterms:W3CDTF">2013-02-05T02:49:00Z</dcterms:created>
  <dcterms:modified xsi:type="dcterms:W3CDTF">2014-05-28T11:16:00Z</dcterms:modified>
</cp:coreProperties>
</file>