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PROCESSING AGREEMENT</w:t>
      </w:r>
    </w:p>
    <w:p>
      <w:r>
        <w:t>This Data Processing Agreement is entered into between the customer identified in the Order (the "Controller") and Northwind Cloud Services Ltd (the "Processor"), and governs the Processor's processing of personal data on behalf of the Controller in connection with the Services.</w:t>
      </w:r>
    </w:p>
    <w:p>
      <w:pPr>
        <w:pStyle w:val="Heading1"/>
      </w:pPr>
      <w:r>
        <w:t>1. Definitions</w:t>
      </w:r>
    </w:p>
    <w:p>
      <w:r>
        <w:t>"Personal Data", "processing", "controller", "processor" and "data subject" have the meanings given in applicable data protection law. "Sub-processor" means any third party engaged by the Processor to process Personal Data.</w:t>
      </w:r>
    </w:p>
    <w:p>
      <w:pPr>
        <w:pStyle w:val="Heading1"/>
      </w:pPr>
      <w:r>
        <w:t>2. Processing Instructions</w:t>
      </w:r>
    </w:p>
    <w:p>
      <w:r>
        <w:t xml:space="preserve">The Processor shall process the Personal Data in accordance with </w:t>
      </w:r>
      <w:commentRangeStart w:id="10"/>
      <w:del w:id="44" w:author="LQ.AI Commercial counsel" w:date="2026-06-24T13:20:28Z" w16du:dateUtc="2026-06-24T13:20:28Z">
        <w:r>
          <w:delText>its own standard operating policies and as the Processor reasonably considers</w:delText>
        </w:r>
      </w:del>
      <w:ins w:id="45" w:author="LQ.AI Commercial counsel" w:date="2026-06-24T13:20:28Z" w16du:dateUtc="2026-06-24T13:20:28Z">
        <w:r>
          <w:t>the documented instructions of the Controller and as</w:t>
        </w:r>
      </w:ins>
      <w:commentRangeEnd w:id="10"/>
      <w:r>
        <w:rPr>
          <w:rStyle w:val="CommentReference"/>
        </w:rPr>
        <w:commentReference w:id="10"/>
      </w:r>
      <w:r>
        <w:t xml:space="preserve"> necessary to provide the Services, and may </w:t>
      </w:r>
      <w:ins w:id="43" w:author="LQ.AI Commercial counsel" w:date="2026-06-24T13:20:28Z" w16du:dateUtc="2026-06-24T13:20:28Z">
        <w:r>
          <w:t xml:space="preserve">not </w:t>
        </w:r>
      </w:ins>
      <w:r>
        <w:t xml:space="preserve">process the Personal Data for </w:t>
      </w:r>
      <w:del w:id="41" w:author="LQ.AI Commercial counsel" w:date="2026-06-24T13:20:28Z" w16du:dateUtc="2026-06-24T13:20:28Z">
        <w:r>
          <w:delText>its own related business purposes</w:delText>
        </w:r>
      </w:del>
      <w:ins w:id="42" w:author="LQ.AI Commercial counsel" w:date="2026-06-24T13:20:28Z" w16du:dateUtc="2026-06-24T13:20:28Z">
        <w:r>
          <w:t>any other purpose</w:t>
        </w:r>
      </w:ins>
      <w:r>
        <w:t>.</w:t>
      </w:r>
    </w:p>
    <w:p>
      <w:pPr>
        <w:pStyle w:val="Heading1"/>
      </w:pPr>
      <w:r>
        <w:t>3. Use of Data</w:t>
      </w:r>
    </w:p>
    <w:p>
      <w:r>
        <w:t xml:space="preserve">The Processor </w:t>
      </w:r>
      <w:commentRangeStart w:id="9"/>
      <w:del w:id="39" w:author="LQ.AI Commercial counsel" w:date="2026-06-24T13:20:28Z" w16du:dateUtc="2026-06-24T13:20:28Z">
        <w:r>
          <w:delText>may</w:delText>
        </w:r>
      </w:del>
      <w:ins w:id="40" w:author="LQ.AI Commercial counsel" w:date="2026-06-24T13:20:28Z" w16du:dateUtc="2026-06-24T13:20:28Z">
        <w:r>
          <w:t>shall not</w:t>
        </w:r>
      </w:ins>
      <w:commentRangeEnd w:id="9"/>
      <w:r>
        <w:rPr>
          <w:rStyle w:val="CommentReference"/>
        </w:rPr>
        <w:commentReference w:id="9"/>
      </w:r>
      <w:r>
        <w:t xml:space="preserve"> use the Personal Data</w:t>
      </w:r>
      <w:del w:id="38" w:author="LQ.AI Commercial counsel" w:date="2026-06-24T13:20:28Z" w16du:dateUtc="2026-06-24T13:20:28Z">
        <w:r>
          <w:delText>, including in de-identified or aggregated form,</w:delText>
        </w:r>
      </w:del>
      <w:r>
        <w:t xml:space="preserve"> to develop, train </w:t>
      </w:r>
      <w:del w:id="36" w:author="LQ.AI Commercial counsel" w:date="2026-06-24T13:20:28Z" w16du:dateUtc="2026-06-24T13:20:28Z">
        <w:r>
          <w:delText>and</w:delText>
        </w:r>
      </w:del>
      <w:ins w:id="37" w:author="LQ.AI Commercial counsel" w:date="2026-06-24T13:20:28Z" w16du:dateUtc="2026-06-24T13:20:28Z">
        <w:r>
          <w:t>or</w:t>
        </w:r>
      </w:ins>
      <w:r>
        <w:t xml:space="preserve"> improve its products, analytics </w:t>
      </w:r>
      <w:del w:id="34" w:author="LQ.AI Commercial counsel" w:date="2026-06-24T13:20:28Z" w16du:dateUtc="2026-06-24T13:20:28Z">
        <w:r>
          <w:delText>and</w:delText>
        </w:r>
      </w:del>
      <w:ins w:id="35" w:author="LQ.AI Commercial counsel" w:date="2026-06-24T13:20:28Z" w16du:dateUtc="2026-06-24T13:20:28Z">
        <w:r>
          <w:t>or</w:t>
        </w:r>
      </w:ins>
      <w:r>
        <w:t xml:space="preserve"> machine-learning models, and </w:t>
      </w:r>
      <w:del w:id="32" w:author="LQ.AI Commercial counsel" w:date="2026-06-24T13:20:28Z" w16du:dateUtc="2026-06-24T13:20:28Z">
        <w:r>
          <w:delText>to</w:delText>
        </w:r>
      </w:del>
      <w:ins w:id="33" w:author="LQ.AI Commercial counsel" w:date="2026-06-24T13:20:28Z" w16du:dateUtc="2026-06-24T13:20:28Z">
        <w:r>
          <w:t>shall not</w:t>
        </w:r>
      </w:ins>
      <w:r>
        <w:t xml:space="preserve"> compile statistics</w:t>
      </w:r>
      <w:del w:id="31" w:author="LQ.AI Commercial counsel" w:date="2026-06-24T13:20:28Z" w16du:dateUtc="2026-06-24T13:20:28Z">
        <w:r>
          <w:delText>,</w:delText>
        </w:r>
      </w:del>
      <w:r>
        <w:t xml:space="preserve"> for its own account</w:t>
      </w:r>
      <w:del w:id="30" w:author="LQ.AI Commercial counsel" w:date="2026-06-24T13:20:28Z" w16du:dateUtc="2026-06-24T13:20:28Z">
        <w:r>
          <w:delText xml:space="preserve"> and without further obligation to the Controller</w:delText>
        </w:r>
      </w:del>
      <w:r>
        <w:t>.</w:t>
      </w:r>
    </w:p>
    <w:p>
      <w:pPr>
        <w:pStyle w:val="Heading1"/>
      </w:pPr>
      <w:r>
        <w:t>4. Sub-processing</w:t>
      </w:r>
    </w:p>
    <w:p>
      <w:r>
        <w:t xml:space="preserve">The Processor may engage </w:t>
      </w:r>
      <w:commentRangeStart w:id="8"/>
      <w:del w:id="28" w:author="LQ.AI Commercial counsel" w:date="2026-06-24T13:20:28Z" w16du:dateUtc="2026-06-24T13:20:28Z">
        <w:r>
          <w:delText>and replace Sub-processors at any time in its sole discretion and without prior notice to or authorisation from the Controller, and the Controller hereby consents to any such Sub-processor</w:delText>
        </w:r>
      </w:del>
      <w:ins w:id="29" w:author="LQ.AI Commercial counsel" w:date="2026-06-24T13:20:28Z" w16du:dateUtc="2026-06-24T13:20:28Z">
        <w:r>
          <w:t>Sub-processors only with the prior written authorisation of the Controller. The Processor shall notify the Controller of any intended change concerning the addition or replacement of Sub-processors, and the Controller shall have a reasonable period to object. The Processor shall impose on each Sub-processor data protection obligations no less protective than those in this Agreement, and the Processor shall remain fully liable for all acts and omissions of its Sub-processors</w:t>
        </w:r>
      </w:ins>
      <w:commentRangeEnd w:id="8"/>
      <w:r>
        <w:rPr>
          <w:rStyle w:val="CommentReference"/>
        </w:rPr>
        <w:commentReference w:id="8"/>
      </w:r>
      <w:r>
        <w:t>.</w:t>
      </w:r>
    </w:p>
    <w:p>
      <w:pPr>
        <w:pStyle w:val="Heading1"/>
      </w:pPr>
      <w:r>
        <w:t>5. Security</w:t>
      </w:r>
    </w:p>
    <w:p>
      <w:r>
        <w:t xml:space="preserve">The Processor shall implement </w:t>
      </w:r>
      <w:commentRangeStart w:id="7"/>
      <w:del w:id="26" w:author="LQ.AI Commercial counsel" w:date="2026-06-24T13:20:28Z" w16du:dateUtc="2026-06-24T13:20:28Z">
        <w:r>
          <w:delText>such</w:delText>
        </w:r>
      </w:del>
      <w:ins w:id="27" w:author="LQ.AI Commercial counsel" w:date="2026-06-24T13:20:28Z" w16du:dateUtc="2026-06-24T13:20:28Z">
        <w:r>
          <w:t>appropriate</w:t>
        </w:r>
      </w:ins>
      <w:commentRangeEnd w:id="7"/>
      <w:r>
        <w:rPr>
          <w:rStyle w:val="CommentReference"/>
        </w:rPr>
        <w:commentReference w:id="7"/>
      </w:r>
      <w:r>
        <w:t xml:space="preserve"> technical and organisational measures </w:t>
      </w:r>
      <w:del w:id="24" w:author="LQ.AI Commercial counsel" w:date="2026-06-24T13:20:28Z" w16du:dateUtc="2026-06-24T13:20:28Z">
        <w:r>
          <w:delText>as the Processor in its sole discretion considers appropriate, and shall not be required to implement any specific measure</w:delText>
        </w:r>
      </w:del>
      <w:ins w:id="25" w:author="LQ.AI Commercial counsel" w:date="2026-06-24T13:20:28Z" w16du:dateUtc="2026-06-24T13:20:28Z">
        <w:r>
          <w:t>to ensure a level of security appropriate to the risk presented by the processing, and shall implement specific measures reasonably</w:t>
        </w:r>
      </w:ins>
      <w:r>
        <w:t xml:space="preserve"> requested by the Controller.</w:t>
      </w:r>
    </w:p>
    <w:p>
      <w:pPr>
        <w:pStyle w:val="Heading1"/>
      </w:pPr>
      <w:r>
        <w:t>6. Personal Data Breach</w:t>
      </w:r>
    </w:p>
    <w:p>
      <w:r>
        <w:t xml:space="preserve">The Processor shall notify the Controller </w:t>
      </w:r>
      <w:commentRangeStart w:id="6"/>
      <w:ins w:id="23" w:author="LQ.AI Commercial counsel" w:date="2026-06-24T13:20:28Z" w16du:dateUtc="2026-06-24T13:20:28Z">
        <w:r>
          <w:t xml:space="preserve">without undue delay after becoming aware </w:t>
        </w:r>
      </w:ins>
      <w:commentRangeEnd w:id="6"/>
      <w:r>
        <w:rPr>
          <w:rStyle w:val="CommentReference"/>
        </w:rPr>
        <w:commentReference w:id="6"/>
      </w:r>
      <w:r>
        <w:t>of a personal data breach affecting the Controller's Personal Data</w:t>
      </w:r>
      <w:del w:id="21" w:author="LQ.AI Commercial counsel" w:date="2026-06-24T13:20:28Z" w16du:dateUtc="2026-06-24T13:20:28Z">
        <w:r>
          <w:delText xml:space="preserve"> within thirty (30) days of the Processor confirming the breach, and shall have no obligation to</w:delText>
        </w:r>
      </w:del>
      <w:ins w:id="22" w:author="LQ.AI Commercial counsel" w:date="2026-06-24T13:20:28Z" w16du:dateUtc="2026-06-24T13:20:28Z">
        <w:r>
          <w:t>, and shall</w:t>
        </w:r>
      </w:ins>
      <w:r>
        <w:t xml:space="preserve"> assist the Controller with its </w:t>
      </w:r>
      <w:del w:id="20" w:author="LQ.AI Commercial counsel" w:date="2026-06-24T13:20:28Z" w16du:dateUtc="2026-06-24T13:20:28Z">
        <w:r>
          <w:delText xml:space="preserve">own </w:delText>
        </w:r>
      </w:del>
      <w:r>
        <w:t>notification duties</w:t>
      </w:r>
      <w:ins w:id="19" w:author="LQ.AI Commercial counsel" w:date="2026-06-24T13:20:28Z" w16du:dateUtc="2026-06-24T13:20:28Z">
        <w:r>
          <w:t xml:space="preserve"> under applicable data protection law</w:t>
        </w:r>
      </w:ins>
      <w:r>
        <w:t>.</w:t>
      </w:r>
    </w:p>
    <w:p>
      <w:pPr>
        <w:pStyle w:val="Heading1"/>
      </w:pPr>
      <w:r>
        <w:t>7. Sub-processor Liability</w:t>
      </w:r>
    </w:p>
    <w:p>
      <w:r>
        <w:t xml:space="preserve">The Processor shall </w:t>
      </w:r>
      <w:commentRangeStart w:id="5"/>
      <w:del w:id="18" w:author="LQ.AI Commercial counsel" w:date="2026-06-24T13:20:28Z" w16du:dateUtc="2026-06-24T13:20:28Z">
        <w:r>
          <w:delText xml:space="preserve">not </w:delText>
        </w:r>
      </w:del>
      <w:commentRangeEnd w:id="5"/>
      <w:r>
        <w:rPr>
          <w:rStyle w:val="CommentReference"/>
        </w:rPr>
        <w:commentReference w:id="5"/>
      </w:r>
      <w:r>
        <w:t>be liable for any act or omission of any Sub-processor, and the Controller's</w:t>
      </w:r>
      <w:del w:id="17" w:author="LQ.AI Commercial counsel" w:date="2026-06-24T13:20:28Z" w16du:dateUtc="2026-06-24T13:20:28Z">
        <w:r>
          <w:delText xml:space="preserve"> sole</w:delText>
        </w:r>
      </w:del>
      <w:r>
        <w:t xml:space="preserve"> recourse in respect of a Sub-processor shall </w:t>
      </w:r>
      <w:del w:id="15" w:author="LQ.AI Commercial counsel" w:date="2026-06-24T13:20:28Z" w16du:dateUtc="2026-06-24T13:20:28Z">
        <w:r>
          <w:delText>be</w:delText>
        </w:r>
      </w:del>
      <w:ins w:id="16" w:author="LQ.AI Commercial counsel" w:date="2026-06-24T13:20:28Z" w16du:dateUtc="2026-06-24T13:20:28Z">
        <w:r>
          <w:t>not be limited to recourse</w:t>
        </w:r>
      </w:ins>
      <w:r>
        <w:t xml:space="preserve"> against that Sub-processor directly.</w:t>
      </w:r>
    </w:p>
    <w:p>
      <w:pPr>
        <w:pStyle w:val="Heading1"/>
      </w:pPr>
      <w:r>
        <w:t>8. Audit</w:t>
      </w:r>
    </w:p>
    <w:p>
      <w:r>
        <w:t xml:space="preserve">The Controller shall have </w:t>
      </w:r>
      <w:commentRangeStart w:id="4"/>
      <w:del w:id="13" w:author="LQ.AI Commercial counsel" w:date="2026-06-24T13:20:28Z" w16du:dateUtc="2026-06-24T13:20:28Z">
        <w:r>
          <w:delText>no</w:delText>
        </w:r>
      </w:del>
      <w:ins w:id="14" w:author="LQ.AI Commercial counsel" w:date="2026-06-24T13:20:28Z" w16du:dateUtc="2026-06-24T13:20:28Z">
        <w:r>
          <w:t>the</w:t>
        </w:r>
      </w:ins>
      <w:commentRangeEnd w:id="4"/>
      <w:r>
        <w:rPr>
          <w:rStyle w:val="CommentReference"/>
        </w:rPr>
        <w:commentReference w:id="4"/>
      </w:r>
      <w:r>
        <w:t xml:space="preserve"> right to audit or inspect the Processor's facilities, systems or records</w:t>
      </w:r>
      <w:ins w:id="12" w:author="LQ.AI Commercial counsel" w:date="2026-06-24T13:20:28Z" w16du:dateUtc="2026-06-24T13:20:28Z">
        <w:r>
          <w:t xml:space="preserve"> relevant to the processing of the Personal Data upon reasonable notice</w:t>
        </w:r>
      </w:ins>
      <w:r>
        <w:t xml:space="preserve">. The Processor may </w:t>
      </w:r>
      <w:commentRangeStart w:id="3"/>
      <w:del w:id="11" w:author="LQ.AI Commercial counsel" w:date="2026-06-24T13:20:28Z" w16du:dateUtc="2026-06-24T13:20:28Z">
        <w:r>
          <w:delText xml:space="preserve">instead </w:delText>
        </w:r>
      </w:del>
      <w:commentRangeEnd w:id="3"/>
      <w:r>
        <w:rPr>
          <w:rStyle w:val="CommentReference"/>
        </w:rPr>
        <w:commentReference w:id="3"/>
      </w:r>
      <w:r>
        <w:t>provide a summary certificate of compliance</w:t>
      </w:r>
      <w:del w:id="10" w:author="LQ.AI Commercial counsel" w:date="2026-06-24T13:20:28Z" w16du:dateUtc="2026-06-24T13:20:28Z">
        <w:r>
          <w:delText xml:space="preserve"> once per year</w:delText>
        </w:r>
      </w:del>
      <w:r>
        <w:t>, which the Controller agrees to accept as sufficient</w:t>
      </w:r>
      <w:ins w:id="9" w:author="LQ.AI Commercial counsel" w:date="2026-06-24T13:20:28Z" w16du:dateUtc="2026-06-24T13:20:28Z">
        <w:r>
          <w:t>; provided that such certificate shall not replace the Controller's audit rights under this clause</w:t>
        </w:r>
      </w:ins>
      <w:r>
        <w:t>.</w:t>
      </w:r>
    </w:p>
    <w:p>
      <w:pPr>
        <w:pStyle w:val="Heading1"/>
      </w:pPr>
      <w:r>
        <w:t>9. International Transfers</w:t>
      </w:r>
    </w:p>
    <w:p>
      <w:r>
        <w:t xml:space="preserve">The Processor may transfer the Personal Data to, and process it in, any country in which the Processor or its Sub-processors operate, </w:t>
      </w:r>
      <w:commentRangeStart w:id="2"/>
      <w:del w:id="7" w:author="LQ.AI Commercial counsel" w:date="2026-06-24T13:20:28Z" w16du:dateUtc="2026-06-24T13:20:28Z">
        <w:r>
          <w:delText>at</w:delText>
        </w:r>
      </w:del>
      <w:ins w:id="8" w:author="LQ.AI Commercial counsel" w:date="2026-06-24T13:20:28Z" w16du:dateUtc="2026-06-24T13:20:28Z">
        <w:r>
          <w:t>provided that</w:t>
        </w:r>
      </w:ins>
      <w:commentRangeEnd w:id="2"/>
      <w:r>
        <w:rPr>
          <w:rStyle w:val="CommentReference"/>
        </w:rPr>
        <w:commentReference w:id="2"/>
      </w:r>
      <w:r>
        <w:t xml:space="preserve"> the Processor</w:t>
      </w:r>
      <w:del w:id="5" w:author="LQ.AI Commercial counsel" w:date="2026-06-24T13:20:28Z" w16du:dateUtc="2026-06-24T13:20:28Z">
        <w:r>
          <w:delText>'s discretion and without implementing any specific transfer safeguard</w:delText>
        </w:r>
      </w:del>
      <w:ins w:id="6" w:author="LQ.AI Commercial counsel" w:date="2026-06-24T13:20:28Z" w16du:dateUtc="2026-06-24T13:20:28Z">
        <w:r>
          <w:t xml:space="preserve"> implements appropriate transfer safeguards in accordance with applicable data protection law</w:t>
        </w:r>
      </w:ins>
      <w:r>
        <w:t>.</w:t>
      </w:r>
    </w:p>
    <w:p>
      <w:pPr>
        <w:pStyle w:val="Heading1"/>
      </w:pPr>
      <w:r>
        <w:t>10. Return and Deletion</w:t>
      </w:r>
    </w:p>
    <w:p>
      <w:r>
        <w:t>On termination</w:t>
      </w:r>
      <w:commentRangeStart w:id="1"/>
      <w:ins w:id="4" w:author="LQ.AI Commercial counsel" w:date="2026-06-24T13:20:28Z" w16du:dateUtc="2026-06-24T13:20:28Z">
        <w:r>
          <w:t xml:space="preserve"> of this Agreement,</w:t>
        </w:r>
      </w:ins>
      <w:commentRangeEnd w:id="1"/>
      <w:r>
        <w:rPr>
          <w:rStyle w:val="CommentReference"/>
        </w:rPr>
        <w:commentReference w:id="1"/>
      </w:r>
      <w:r>
        <w:t xml:space="preserve"> the Processor shall delete the Personal Data where </w:t>
      </w:r>
      <w:del w:id="2" w:author="LQ.AI Commercial counsel" w:date="2026-06-24T13:20:28Z" w16du:dateUtc="2026-06-24T13:20:28Z">
        <w:r>
          <w:delText>practicable, but may retain the Personal Data for as long as the Processor considers necessary</w:delText>
        </w:r>
      </w:del>
      <w:ins w:id="3" w:author="LQ.AI Commercial counsel" w:date="2026-06-24T13:20:28Z" w16du:dateUtc="2026-06-24T13:20:28Z">
        <w:r>
          <w:t>required by applicable law, and shall not retain the Personal Data</w:t>
        </w:r>
      </w:ins>
      <w:r>
        <w:t xml:space="preserve"> for its own business</w:t>
      </w:r>
      <w:del w:id="1" w:author="LQ.AI Commercial counsel" w:date="2026-06-24T13:20:28Z" w16du:dateUtc="2026-06-24T13:20:28Z">
        <w:r>
          <w:delText>, legal</w:delText>
        </w:r>
      </w:del>
      <w:r>
        <w:t xml:space="preserve"> or analytics purposes.</w:t>
      </w:r>
    </w:p>
    <w:p>
      <w:pPr>
        <w:pStyle w:val="Heading1"/>
      </w:pPr>
      <w:r>
        <w:t>11. Liability</w:t>
      </w:r>
    </w:p>
    <w:p>
      <w:r>
        <w:t>The Processor's aggregate liability arising out of or in connection with this Agreement and any processing of Personal Data shall not exceed the fees paid by the Controller in the one (1) month preceding the claim.</w:t>
      </w:r>
    </w:p>
    <w:p>
      <w:pPr>
        <w:pStyle w:val="Heading1"/>
      </w:pPr>
      <w:r>
        <w:t>12. Governing Law</w:t>
      </w:r>
    </w:p>
    <w:p>
      <w:r>
        <w:t>This Agreement is governed by the laws of England and Wales, and the parties submit to the exclusive jurisdiction of the courts of England and Wales.</w:t>
      </w:r>
    </w:p>
    <w:sectPr w:rsidR="00FC693F" w:rsidRPr="0006063C" w:rsidSect="00034616">
      <w:pgSz w:w="12240" w:h="15840"/>
      <w:pgMar w:top="1440" w:right="1800" w:bottom="1440" w:left="1800" w:header="720" w:footer="720" w:gutter="0"/>
      <w:cols w:space="720"/>
      <w:docGrid w:linePitch="360"/>
    </w:sectPr>
  </w:body>
</w:document>
</file>

<file path=word/comments1.xml><?xml version="1.0" encoding="utf-8"?>
<w:comments xmlns:w="http://schemas.openxmlformats.org/wordprocessingml/2006/main" xmlns:w14="http://schemas.microsoft.com/office/word/2010/wordml" xmlns:w15="http://schemas.microsoft.com/office/word/2012/wordml" xmlns:w16cid="http://schemas.microsoft.com/office/word/2016/wordml/cid" xmlns:w16cex="http://schemas.microsoft.com/office/word/2018/wordml/cex" xmlns:mc="http://schemas.openxmlformats.org/markup-compatibility/2006" mc:Ignorable="w14 w15 w16cid w16cex">
  <w:comment w:id="1" w:author="LQ.AI Commercial counsel" w:date="2026-06-24T13:20:28Z" w:initials="LCC">
    <w:p w14:paraId="9BF8F7A7" w14:textId="77777777" w:rsidR="FC08A97A" w:rsidRDefault="FC08A97A" w:rsidP="FC08A97A">
      <w:pPr>
        <w:pStyle w:val="CommentText"/>
      </w:pPr>
      <w:r>
        <w:rPr>
          <w:rStyle w:val="CommentReference"/>
        </w:rPr>
        <w:annotationRef/>
      </w:r>
      <w:r>
        <w:t>This edit changes the deletion obligation from practical deletion with open-ended retention for analytics to deletion required by law with no retention for business or analytics. This protects the Controller because Article 28(3)(g) UK GDPR requires the processor to delete or return all personal data on termination without exceptions for the processor's own purposes.</w:t>
      </w:r>
    </w:p>
  </w:comment>
  <w:comment w:id="2" w:author="LQ.AI Commercial counsel" w:date="2026-06-24T13:20:28Z" w:initials="LCC">
    <w:p w14:paraId="6A1B090B" w14:textId="77777777" w:rsidR="90FC7298" w:rsidRDefault="90FC7298" w:rsidP="90FC7298">
      <w:pPr>
        <w:pStyle w:val="CommentText"/>
      </w:pPr>
      <w:r>
        <w:rPr>
          <w:rStyle w:val="CommentReference"/>
        </w:rPr>
        <w:annotationRef/>
      </w:r>
      <w:r>
        <w:t>This edit changes the international transfer clause from allowing unrestricted transfers without safeguards to requiring appropriate transfer safeguards in accordance with applicable data protection law. This protects the Controller because Chapter V UK GDPR requires appropriate safeguards for any transfer of personal data to a country outside the UK or EEA.</w:t>
      </w:r>
    </w:p>
  </w:comment>
  <w:comment w:id="3" w:author="LQ.AI Commercial counsel" w:date="2026-06-24T13:20:28Z" w:initials="LCC">
    <w:p w14:paraId="D171A3D9" w14:textId="77777777" w:rsidR="BC56E93A" w:rsidRDefault="BC56E93A" w:rsidP="BC56E93A">
      <w:pPr>
        <w:pStyle w:val="CommentText"/>
      </w:pPr>
      <w:r>
        <w:rPr>
          <w:rStyle w:val="CommentReference"/>
        </w:rPr>
        <w:annotationRef/>
      </w:r>
      <w:r>
        <w:t>This edit removes the mandatory certificate regime that replaced the audit right and instead provides that a certificate may be provided but does not replace audit rights. This protects the Controller because the original clause eliminated the statutory audit right guaranteed by Article 28(3)(h) UK GDPR.</w:t>
      </w:r>
    </w:p>
  </w:comment>
  <w:comment w:id="4" w:author="LQ.AI Commercial counsel" w:date="2026-06-24T13:20:28Z" w:initials="LCC">
    <w:p w14:paraId="603E234C" w14:textId="77777777" w:rsidR="75D5CC00" w:rsidRDefault="75D5CC00" w:rsidP="75D5CC00">
      <w:pPr>
        <w:pStyle w:val="CommentText"/>
      </w:pPr>
      <w:r>
        <w:rPr>
          <w:rStyle w:val="CommentReference"/>
        </w:rPr>
        <w:annotationRef/>
      </w:r>
      <w:r>
        <w:t>This edit changes the audit right from a complete denial to an affirmative Controller right to audit upon reasonable notice. This protects the Controller because Article 28(3)(h) UK GDPR guarantees the controller the right to audit the processor's compliance with the agreement and applicable data protection law.</w:t>
      </w:r>
    </w:p>
  </w:comment>
  <w:comment w:id="5" w:author="LQ.AI Commercial counsel" w:date="2026-06-24T13:20:28Z" w:initials="LCC">
    <w:p w14:paraId="6FAE23AB" w14:textId="77777777" w:rsidR="449577EA" w:rsidRDefault="449577EA" w:rsidP="449577EA">
      <w:pPr>
        <w:pStyle w:val="CommentText"/>
      </w:pPr>
      <w:r>
        <w:rPr>
          <w:rStyle w:val="CommentReference"/>
        </w:rPr>
        <w:annotationRef/>
      </w:r>
      <w:r>
        <w:t>This edit changes the liability provision from a full disclaimer of sub-processor liability to full Processor liability for sub-processors. This protects the Controller because Article 28(4) UK GDPR requires the processor to remain fully liable for the acts and omissions of its sub-processors as if they were its own.</w:t>
      </w:r>
    </w:p>
  </w:comment>
  <w:comment w:id="6" w:author="LQ.AI Commercial counsel" w:date="2026-06-24T13:20:28Z" w:initials="LCC">
    <w:p w14:paraId="9D3A293A" w14:textId="77777777" w:rsidR="AB168055" w:rsidRDefault="AB168055" w:rsidP="AB168055">
      <w:pPr>
        <w:pStyle w:val="CommentText"/>
      </w:pPr>
      <w:r>
        <w:rPr>
          <w:rStyle w:val="CommentReference"/>
        </w:rPr>
        <w:annotationRef/>
      </w:r>
      <w:r>
        <w:t>This edit changes the breach notification from 30 days after confirmation to without undue delay after becoming aware, and replaces the disclaimer of assistance with an affirmative duty to assist. This protects the Controller because Article 33(2) UK GDPR requires notification without undue delay and the controller needs processor assistance to meet its own notification obligations.</w:t>
      </w:r>
    </w:p>
  </w:comment>
  <w:comment w:id="7" w:author="LQ.AI Commercial counsel" w:date="2026-06-24T13:20:28Z" w:initials="LCC">
    <w:p w14:paraId="1037D345" w14:textId="77777777" w:rsidR="94862B6E" w:rsidRDefault="94862B6E" w:rsidP="94862B6E">
      <w:pPr>
        <w:pStyle w:val="CommentText"/>
      </w:pPr>
      <w:r>
        <w:rPr>
          <w:rStyle w:val="CommentReference"/>
        </w:rPr>
        <w:annotationRef/>
      </w:r>
      <w:r>
        <w:t>This edit changes the security standard from the Processor's sole discretion to an objective standard of measures appropriate to the risk, and removes the prohibition on Controller-requested measures. This protects the Controller because Article 32 UK GDPR requires a level of security appropriate to the risk rather than whatever the processor decides.</w:t>
      </w:r>
    </w:p>
  </w:comment>
  <w:comment w:id="8" w:author="LQ.AI Commercial counsel" w:date="2026-06-24T13:20:28Z" w:initials="LCC">
    <w:p w14:paraId="AFB16103" w14:textId="77777777" w:rsidR="A4A7C8DD" w:rsidRDefault="A4A7C8DD" w:rsidP="A4A7C8DD">
      <w:pPr>
        <w:pStyle w:val="CommentText"/>
      </w:pPr>
      <w:r>
        <w:rPr>
          <w:rStyle w:val="CommentReference"/>
        </w:rPr>
        <w:annotationRef/>
      </w:r>
      <w:r>
        <w:t>This edit changes the sub-processor clause from unilateral Processor discretion to a requirement for prior written authorisation, plus adds a notification and objection mechanism and full Processor liability for sub-processors. This protects the Controller because Article 28(2) and 28(4) UK GDPR require both prior authorisation and retained processor liability.</w:t>
      </w:r>
    </w:p>
  </w:comment>
  <w:comment w:id="9" w:author="LQ.AI Commercial counsel" w:date="2026-06-24T13:20:28Z" w:initials="LCC">
    <w:p w14:paraId="0D54B3A8" w14:textId="77777777" w:rsidR="58845328" w:rsidRDefault="58845328" w:rsidP="58845328">
      <w:pPr>
        <w:pStyle w:val="CommentText"/>
      </w:pPr>
      <w:r>
        <w:rPr>
          <w:rStyle w:val="CommentReference"/>
        </w:rPr>
        <w:annotationRef/>
      </w:r>
      <w:r>
        <w:t>The original clause grants an unrestricted right to use Controller Personal Data for model training, analytics, and product improvement. This is the antithesis of the controller-processor framework under data protection law and requires a full reversal to protect the Controller's data from being used for the Processor's own commercial benefit.</w:t>
      </w:r>
    </w:p>
  </w:comment>
  <w:comment w:id="10" w:author="LQ.AI Commercial counsel" w:date="2026-06-24T13:20:28Z" w:initials="LCC">
    <w:p w14:paraId="65191A8B" w14:textId="77777777" w:rsidR="13AC140D" w:rsidRDefault="13AC140D" w:rsidP="13AC140D">
      <w:pPr>
        <w:pStyle w:val="CommentText"/>
      </w:pPr>
      <w:r>
        <w:rPr>
          <w:rStyle w:val="CommentReference"/>
        </w:rPr>
        <w:annotationRef/>
      </w:r>
      <w:r>
        <w:t>This edit changes the processing instruction from the Processor's own policies to the Controller's documented instructions, and removes the right to process for the Processor's own business purposes. This protects the Controller because Article 28(3)(a) UK GDPR requires a processor to process personal data only on documented instructions from the controller.</w:t>
      </w:r>
    </w:p>
  </w:comment>
</w:comments>
</file>

<file path=word/commentsExtended1.xml><?xml version="1.0" encoding="utf-8"?>
<w15:commentsEx xmlns:w15="http://schemas.microsoft.com/office/word/2012/wordml">
  <w15:commentEx w15:paraId="9BF8F7A7" w15:done="0"/>
  <w15:commentEx w15:paraId="6A1B090B" w15:done="0"/>
  <w15:commentEx w15:paraId="D171A3D9" w15:done="0"/>
  <w15:commentEx w15:paraId="603E234C" w15:done="0"/>
  <w15:commentEx w15:paraId="6FAE23AB" w15:done="0"/>
  <w15:commentEx w15:paraId="9D3A293A" w15:done="0"/>
  <w15:commentEx w15:paraId="1037D345" w15:done="0"/>
  <w15:commentEx w15:paraId="AFB16103" w15:done="0"/>
  <w15:commentEx w15:paraId="0D54B3A8" w15:done="0"/>
  <w15:commentEx w15:paraId="65191A8B" w15:done="0"/>
</w15:commentsEx>
</file>

<file path=word/commentsExtensible1.xml><?xml version="1.0" encoding="utf-8"?>
<w16cex:commentsExtensible xmlns:w16cex="http://schemas.microsoft.com/office/word/2018/wordml/cex">
  <w16cex:commentExtensible w16cex:durableId="F55FF651" w16cex:dateUtc="2026-06-24T13:20:28Z"/>
  <w16cex:commentExtensible w16cex:durableId="6C4F35BB" w16cex:dateUtc="2026-06-24T13:20:28Z"/>
  <w16cex:commentExtensible w16cex:durableId="A74D3D96" w16cex:dateUtc="2026-06-24T13:20:28Z"/>
  <w16cex:commentExtensible w16cex:durableId="6D267B21" w16cex:dateUtc="2026-06-24T13:20:28Z"/>
  <w16cex:commentExtensible w16cex:durableId="981729ED" w16cex:dateUtc="2026-06-24T13:20:28Z"/>
  <w16cex:commentExtensible w16cex:durableId="E52EC539" w16cex:dateUtc="2026-06-24T13:20:28Z"/>
  <w16cex:commentExtensible w16cex:durableId="D45D3646" w16cex:dateUtc="2026-06-24T13:20:28Z"/>
  <w16cex:commentExtensible w16cex:durableId="9066C4CA" w16cex:dateUtc="2026-06-24T13:20:28Z"/>
  <w16cex:commentExtensible w16cex:durableId="AD097C6A" w16cex:dateUtc="2026-06-24T13:20:28Z"/>
  <w16cex:commentExtensible w16cex:durableId="A228FA13" w16cex:dateUtc="2026-06-24T13:20:28Z"/>
</w16cex:commentsExtensible>
</file>

<file path=word/commentsIds1.xml><?xml version="1.0" encoding="utf-8"?>
<w16cid:commentsIds xmlns:w16cid="http://schemas.microsoft.com/office/word/2016/wordml/cid">
  <w16cid:commentId w16cid:paraId="9BF8F7A7" w16cid:durableId="F55FF651"/>
  <w16cid:commentId w16cid:paraId="6A1B090B" w16cid:durableId="6C4F35BB"/>
  <w16cid:commentId w16cid:paraId="D171A3D9" w16cid:durableId="A74D3D96"/>
  <w16cid:commentId w16cid:paraId="603E234C" w16cid:durableId="6D267B21"/>
  <w16cid:commentId w16cid:paraId="6FAE23AB" w16cid:durableId="981729ED"/>
  <w16cid:commentId w16cid:paraId="9D3A293A" w16cid:durableId="E52EC539"/>
  <w16cid:commentId w16cid:paraId="1037D345" w16cid:durableId="D45D3646"/>
  <w16cid:commentId w16cid:paraId="AFB16103" w16cid:durableId="9066C4CA"/>
  <w16cid:commentId w16cid:paraId="0D54B3A8" w16cid:durableId="AD097C6A"/>
  <w16cid:commentId w16cid:paraId="65191A8B" w16cid:durableId="A228FA13"/>
</w16cid:commentsIds>
</file>

<file path=word/fontTable.xml><?xml version="1.0" encoding="utf-8"?>
<w:font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16du="http://schemas.microsoft.com/office/word/2023/wordml/word16du"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1.xml"/><Relationship Id="rId10" Type="http://schemas.microsoft.com/office/2011/relationships/commentsExtended" Target="commentsExtended1.xml"/><Relationship Id="rId11" Type="http://schemas.microsoft.com/office/2016/09/relationships/commentsIds" Target="commentsIds1.xml"/><Relationship Id="rId12"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