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LICENCE AND SUPPORT AGREEMENT</w:t>
      </w:r>
    </w:p>
    <w:p>
      <w:r>
        <w:t>This Software Licence and Support Agreement is entered into between DataBridge Systems LLC (the "Licensor") and the customer identified in the Order (the "Licensee").</w:t>
      </w:r>
    </w:p>
    <w:p>
      <w:pPr>
        <w:pStyle w:val="Heading1"/>
      </w:pPr>
      <w:r>
        <w:t>1. Definitions</w:t>
      </w:r>
    </w:p>
    <w:p>
      <w:r>
        <w:t>"Software" means the DataBridge platform licensed under the Order. "Licensor" means DataBridge Systems LLC. "Licensee" means the customer identified in the Order. "Licensee Content" means data the Licensee loads into the Software.</w:t>
      </w:r>
    </w:p>
    <w:p>
      <w:pPr>
        <w:pStyle w:val="Heading1"/>
      </w:pPr>
      <w:r>
        <w:t>2. Licence</w:t>
      </w:r>
    </w:p>
    <w:p>
      <w:r>
        <w:t>The Licensor grants the Licensee a non-exclusive, non-transferable licence to use the Software during the term. The Licensor may suspend access at any time in its sole discretion and without notice.</w:t>
      </w:r>
    </w:p>
    <w:p>
      <w:pPr>
        <w:pStyle w:val="Heading1"/>
      </w:pPr>
      <w:r>
        <w:t>3. Fees</w:t>
      </w:r>
    </w:p>
    <w:p>
      <w:r>
        <w:t>The Licensee shall pay all fees within fifteen (15) days of the invoice date. The Licensor may increase the fees at any time on written notice. All fees are non-refundable under all circumstances.</w:t>
      </w:r>
    </w:p>
    <w:p>
      <w:pPr>
        <w:pStyle w:val="Heading1"/>
      </w:pPr>
      <w:r>
        <w:t>4. Intellectual Property</w:t>
      </w:r>
    </w:p>
    <w:p>
      <w:r>
        <w:t>All intellectual property rights in any configurations, integrations and feedback created in connection with the Software shall vest exclusively in the Licensor upon creation.</w:t>
      </w:r>
    </w:p>
    <w:p>
      <w:pPr>
        <w:pStyle w:val="Heading1"/>
      </w:pPr>
      <w:r>
        <w:t>5. Licensee Content</w:t>
      </w:r>
    </w:p>
    <w:p>
      <w:r>
        <w:t>The Licensee grants the Licensor a perpetual, irrevocable, worldwide, royalty-free licence to use, reproduce and create derivative works from Licensee Content for any purpose, including to train the Licensor's models and improve its products.</w:t>
      </w:r>
    </w:p>
    <w:p>
      <w:pPr>
        <w:pStyle w:val="Heading1"/>
      </w:pPr>
      <w:r>
        <w:t>6. Warranties</w:t>
      </w:r>
    </w:p>
    <w:p>
      <w:r>
        <w:t>THE SOFTWARE IS PROVIDED "AS IS" AND THE LICENSOR DISCLAIMS ALL WARRANTIES, WHETHER EXPRESS, IMPLIED OR STATUTORY, INCLUDING MERCHANTABILITY, FITNESS FOR A PARTICULAR PURPOSE AND NON-INFRINGEMENT.</w:t>
      </w:r>
    </w:p>
    <w:p>
      <w:pPr>
        <w:pStyle w:val="Heading1"/>
      </w:pPr>
      <w:r>
        <w:t>7. Indemnity</w:t>
      </w:r>
    </w:p>
    <w:p>
      <w:r>
        <w:t>The Licensee shall indemnify, defend and hold harmless the Licensor and its officers against any and all claims, losses, damages and expenses arising from or in connection with the Licensee's use of the Software or the Licensee Content.</w:t>
      </w:r>
    </w:p>
    <w:p>
      <w:pPr>
        <w:pStyle w:val="Heading1"/>
      </w:pPr>
      <w:r>
        <w:t>8. Limitation of Liability</w:t>
      </w:r>
    </w:p>
    <w:p>
      <w:r>
        <w:t>The Licensor's total liability arising out of or in connection with this Agreement shall not exceed the fees paid by the Licensee in the three (3) months preceding the claim. In no event shall the Licensor be liable for any indirect, incidental or consequential damages, or any loss of profits, revenue or data.</w:t>
      </w:r>
    </w:p>
    <w:p>
      <w:pPr>
        <w:pStyle w:val="Heading1"/>
      </w:pPr>
      <w:r>
        <w:t>9. Term and Termination</w:t>
      </w:r>
    </w:p>
    <w:p>
      <w:r>
        <w:t>This Agreement renews automatically for successive one (1) year terms. The Licensee may not terminate for convenience. The Licensor may terminate at any time on thirty (30) days notice.</w:t>
      </w:r>
    </w:p>
    <w:p>
      <w:pPr>
        <w:pStyle w:val="Heading1"/>
      </w:pPr>
      <w:r>
        <w:t>10. Governing Law</w:t>
      </w:r>
    </w:p>
    <w:p>
      <w:r>
        <w:t>This Agreement is governed by the laws of the State of New York, and the parties submit to the exclusive jurisdiction of the courts of New York.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