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1.xml" ContentType="application/vnd.openxmlformats-officedocument.wordprocessingml.comments+xml"/>
  <Override PartName="/word/commentsExtended1.xml" ContentType="application/vnd.openxmlformats-officedocument.wordprocessingml.commentsExtended+xml"/>
  <Override PartName="/word/commentsExtensible1.xml" ContentType="application/vnd.openxmlformats-officedocument.wordprocessingml.commentsExtensible+xml"/>
  <Override PartName="/word/commentsIds1.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6du="http://schemas.microsoft.com/office/word/2023/wordml/word16du"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SERVICES AGREEMENT</w:t>
      </w:r>
    </w:p>
    <w:p>
      <w:r>
        <w:t>This Master Services Agreement is entered into between SecureScan, Inc. (the "Vendor") and the Customer identified in the Order Form.</w:t>
      </w:r>
    </w:p>
    <w:p>
      <w:pPr>
        <w:pStyle w:val="Heading1"/>
      </w:pPr>
      <w:r>
        <w:t>1. Definitions</w:t>
      </w:r>
    </w:p>
    <w:p>
      <w:r>
        <w:t>"Agreement" means this Master Services Agreement. "Vendor" means SecureScan, Inc. "Customer" means the entity identified in the Order Form. "Services" means the Vendor's hosted SecureScan platform. "Customer Data" means data submitted by the Customer to the Services.</w:t>
      </w:r>
    </w:p>
    <w:p>
      <w:pPr>
        <w:pStyle w:val="Heading1"/>
      </w:pPr>
      <w:r>
        <w:t>2. Services</w:t>
      </w:r>
    </w:p>
    <w:p>
      <w:r>
        <w:t xml:space="preserve">The Vendor shall use commercially reasonable efforts to make the Services available, but does not warrant uninterrupted or error-free operation. The Vendor may modify </w:t>
      </w:r>
      <w:commentRangeStart w:id="16"/>
      <w:del w:id="30" w:author="LQ.AI Commercial counsel" w:date="2026-06-24T09:12:22Z" w16du:dateUtc="2026-06-24T09:12:22Z">
        <w:r>
          <w:delText>or discontinue any feature of the Services at any time in its sole discretion.</w:delText>
        </w:r>
      </w:del>
      <w:ins w:id="31" w:author="LQ.AI Commercial counsel" w:date="2026-06-24T09:12:22Z" w16du:dateUtc="2026-06-24T09:12:22Z">
        <w:r>
          <w:t>the Services in its sole discretion, provided that any modification that materially reduces core functionality shall be subject to the Customer's prior written consent, and the Vendor shall not discontinue the Services without ninety (90) days prior written notice to the Customer.</w:t>
        </w:r>
      </w:ins>
      <w:commentRangeEnd w:id="16"/>
      <w:r>
        <w:rPr>
          <w:rStyle w:val="CommentReference"/>
        </w:rPr>
        <w:commentReference w:id="16"/>
      </w:r>
    </w:p>
    <w:p>
      <w:pPr>
        <w:pStyle w:val="Heading1"/>
      </w:pPr>
      <w:r>
        <w:t>3. Fees</w:t>
      </w:r>
    </w:p>
    <w:p>
      <w:r>
        <w:t xml:space="preserve">The Customer shall pay all fees set out in the Order Form within thirty (30) days of the invoice date. All fees are </w:t>
      </w:r>
      <w:commentRangeStart w:id="15"/>
      <w:del w:id="28" w:author="LQ.AI Commercial counsel" w:date="2026-06-24T09:12:22Z" w16du:dateUtc="2026-06-24T09:12:22Z">
        <w:r>
          <w:delText>non-refundable.</w:delText>
        </w:r>
      </w:del>
      <w:ins w:id="29" w:author="LQ.AI Commercial counsel" w:date="2026-06-24T09:12:22Z" w16du:dateUtc="2026-06-24T09:12:22Z">
        <w:r>
          <w:t>non-refundable except as expressly provided otherwise in this Agreement.</w:t>
        </w:r>
      </w:ins>
      <w:commentRangeEnd w:id="15"/>
      <w:r>
        <w:rPr>
          <w:rStyle w:val="CommentReference"/>
        </w:rPr>
        <w:commentReference w:id="15"/>
      </w:r>
      <w:r>
        <w:t xml:space="preserve"> The Vendor may increase fees </w:t>
      </w:r>
      <w:commentRangeStart w:id="14"/>
      <w:del w:id="26" w:author="LQ.AI Commercial counsel" w:date="2026-06-24T09:12:22Z" w16du:dateUtc="2026-06-24T09:12:22Z">
        <w:r>
          <w:delText>at any time on thirty (30) days</w:delText>
        </w:r>
      </w:del>
      <w:ins w:id="27" w:author="LQ.AI Commercial counsel" w:date="2026-06-24T09:12:22Z" w16du:dateUtc="2026-06-24T09:12:22Z">
        <w:r>
          <w:t>only upon renewal of the Term, on at least ninety (90) days prior written notice. Any increase exceeding ten percent (10%) of the then-current fees shall entitle the Customer to terminate the Agreement without penalty by notice given within thirty (30) days of the increase</w:t>
        </w:r>
      </w:ins>
      <w:commentRangeEnd w:id="14"/>
      <w:r>
        <w:rPr>
          <w:rStyle w:val="CommentReference"/>
        </w:rPr>
        <w:commentReference w:id="14"/>
      </w:r>
      <w:r>
        <w:t xml:space="preserve"> notice.</w:t>
      </w:r>
    </w:p>
    <w:p>
      <w:pPr>
        <w:pStyle w:val="Heading1"/>
      </w:pPr>
      <w:r>
        <w:t>4. Term and Renewal</w:t>
      </w:r>
    </w:p>
    <w:p>
      <w:r>
        <w:t xml:space="preserve">This Agreement commences on the Effective Date and continues for an initial term of three (3) years. It shall automatically renew for successive three (3) year terms unless </w:t>
      </w:r>
      <w:commentRangeStart w:id="13"/>
      <w:del w:id="24" w:author="LQ.AI Commercial counsel" w:date="2026-06-24T09:12:22Z" w16du:dateUtc="2026-06-24T09:12:22Z">
        <w:r>
          <w:delText>the Customer gives at least ninety (90)</w:delText>
        </w:r>
      </w:del>
      <w:ins w:id="25" w:author="LQ.AI Commercial counsel" w:date="2026-06-24T09:12:22Z" w16du:dateUtc="2026-06-24T09:12:22Z">
        <w:r>
          <w:t>either party gives at least sixty (60)</w:t>
        </w:r>
      </w:ins>
      <w:commentRangeEnd w:id="13"/>
      <w:r>
        <w:rPr>
          <w:rStyle w:val="CommentReference"/>
        </w:rPr>
        <w:commentReference w:id="13"/>
      </w:r>
      <w:r>
        <w:t xml:space="preserve"> days written notice before the end of the then-current term. </w:t>
      </w:r>
      <w:commentRangeStart w:id="12"/>
      <w:del w:id="22" w:author="LQ.AI Commercial counsel" w:date="2026-06-24T09:12:22Z" w16du:dateUtc="2026-06-24T09:12:22Z">
        <w:r>
          <w:delText>The Customer may not terminate for convenience.</w:delText>
        </w:r>
      </w:del>
      <w:ins w:id="23" w:author="LQ.AI Commercial counsel" w:date="2026-06-24T09:12:22Z" w16du:dateUtc="2026-06-24T09:12:22Z">
        <w:r>
          <w:t>Either party may terminate this Agreement for convenience on sixty (60) days prior written notice. In the event of such termination by the Customer, the Vendor shall refund any prepaid fees for the period following the termination date. Either party may also terminate this Agreement immediately on written notice if the other party materially breaches this Agreement and fails to cure such breach within thirty (30) days of receiving written notice thereof.</w:t>
        </w:r>
      </w:ins>
      <w:commentRangeEnd w:id="12"/>
      <w:r>
        <w:rPr>
          <w:rStyle w:val="CommentReference"/>
        </w:rPr>
        <w:commentReference w:id="12"/>
      </w:r>
    </w:p>
    <w:p>
      <w:pPr>
        <w:pStyle w:val="Heading1"/>
      </w:pPr>
      <w:r>
        <w:t>5. Intellectual Property</w:t>
      </w:r>
    </w:p>
    <w:p>
      <w:r>
        <w:t xml:space="preserve">All intellectual property rights in any deliverables, </w:t>
      </w:r>
      <w:commentRangeStart w:id="11"/>
      <w:del w:id="20" w:author="LQ.AI Commercial counsel" w:date="2026-06-24T09:12:22Z" w16du:dateUtc="2026-06-24T09:12:22Z">
        <w:r>
          <w:delText>configurations, feedback and work product created under this Agreement shall vest exclusively in the Vendor upon creation.</w:delText>
        </w:r>
      </w:del>
      <w:ins w:id="21" w:author="LQ.AI Commercial counsel" w:date="2026-06-24T09:12:22Z" w16du:dateUtc="2026-06-24T09:12:22Z">
        <w:r>
          <w:t>configurations and work product created specifically for the Customer under this Agreement shall vest in the Customer. The Vendor retains all intellectual property rights in its pre-existing materials and any improvements to the Vendor's platform that do not incorporate Customer Data.</w:t>
        </w:r>
      </w:ins>
      <w:commentRangeEnd w:id="11"/>
      <w:r>
        <w:rPr>
          <w:rStyle w:val="CommentReference"/>
        </w:rPr>
        <w:commentReference w:id="11"/>
      </w:r>
      <w:r>
        <w:t xml:space="preserve"> The Customer </w:t>
      </w:r>
      <w:commentRangeStart w:id="10"/>
      <w:del w:id="18" w:author="LQ.AI Commercial counsel" w:date="2026-06-24T09:12:22Z" w16du:dateUtc="2026-06-24T09:12:22Z">
        <w:r>
          <w:delText>assigns to the Vendor all right, title and interest in any feedback it provides.</w:delText>
        </w:r>
      </w:del>
      <w:ins w:id="19" w:author="LQ.AI Commercial counsel" w:date="2026-06-24T09:12:22Z" w16du:dateUtc="2026-06-24T09:12:22Z">
        <w:r>
          <w:t>grants the Vendor a non-exclusive, perpetual, irrevocable, royalty-free license to use any feedback the Customer provides for the Vendor's business purposes.</w:t>
        </w:r>
      </w:ins>
      <w:commentRangeEnd w:id="10"/>
      <w:r>
        <w:rPr>
          <w:rStyle w:val="CommentReference"/>
        </w:rPr>
        <w:commentReference w:id="10"/>
      </w:r>
    </w:p>
    <w:p>
      <w:pPr>
        <w:pStyle w:val="Heading1"/>
      </w:pPr>
      <w:r>
        <w:t>6. Customer Data</w:t>
      </w:r>
    </w:p>
    <w:p>
      <w:r>
        <w:t xml:space="preserve">The Customer grants the Vendor a </w:t>
      </w:r>
      <w:commentRangeStart w:id="9"/>
      <w:del w:id="16" w:author="LQ.AI Commercial counsel" w:date="2026-06-24T09:12:22Z" w16du:dateUtc="2026-06-24T09:12:22Z">
        <w:r>
          <w:delText>perpetual, irrevocable, worldwide, royalty-free licence to use, reproduce and create derivative works from Customer Data for any purpose, including to improve the Vendor's products and services.</w:delText>
        </w:r>
      </w:del>
      <w:ins w:id="17" w:author="LQ.AI Commercial counsel" w:date="2026-06-24T09:12:22Z" w16du:dateUtc="2026-06-24T09:12:22Z">
        <w:r>
          <w:t>non-exclusive, royalty-free, worldwide licence during the Term to use, reproduce and process Customer Data solely to provide the Services to the Customer. The Vendor shall not use Customer Data for any other purpose, including to improve its products or services, without the Customer's prior written consent.</w:t>
        </w:r>
      </w:ins>
      <w:commentRangeEnd w:id="9"/>
      <w:r>
        <w:rPr>
          <w:rStyle w:val="CommentReference"/>
        </w:rPr>
        <w:commentReference w:id="9"/>
      </w:r>
    </w:p>
    <w:p>
      <w:pPr>
        <w:pStyle w:val="Heading1"/>
      </w:pPr>
      <w:r>
        <w:t>7. Warranties</w:t>
      </w:r>
    </w:p>
    <w:p>
      <w:commentRangeStart w:id="8"/>
      <w:del w:id="14" w:author="LQ.AI Commercial counsel" w:date="2026-06-24T09:12:22Z" w16du:dateUtc="2026-06-24T09:12:22Z">
        <w:r>
          <w:delText>THE SERVICES ARE PROVIDED "AS IS" AND THE VENDOR DISCLAIMS ALL WARRANTIES, WHETHER EXPRESS, IMPLIED OR STATUTORY, INCLUDING ANY WARRANTY OF MERCHANTABILITY, FITNESS FOR A PARTICULAR PURPOSE AND NON-INFRINGEMENT.</w:delText>
        </w:r>
      </w:del>
      <w:ins w:id="15" w:author="LQ.AI Commercial counsel" w:date="2026-06-24T09:12:22Z" w16du:dateUtc="2026-06-24T09:12:22Z">
        <w:r>
          <w:t>Each party represents and warrants that it has the authority to enter into this Agreement. The Vendor warrants that the Services will perform materially in accordance with this Agreement and the applicable Order Form. EXCEPT AS EXPRESSLY PROVIDED IN THIS SECTION 7, THE SERVICES ARE PROVIDED "AS IS" AND THE VENDOR DISCLAIMS ALL OTHER WARRANTIES, WHETHER EXPRESS, IMPLIED OR STATUTORY, INCLUDING ANY WARRANTY OF MERCHANTABILITY AND FITNESS FOR A PARTICULAR PURPOSE.</w:t>
        </w:r>
      </w:ins>
      <w:commentRangeEnd w:id="8"/>
      <w:r>
        <w:rPr>
          <w:rStyle w:val="CommentReference"/>
        </w:rPr>
        <w:commentReference w:id="8"/>
      </w:r>
    </w:p>
    <w:p>
      <w:pPr>
        <w:pStyle w:val="Heading1"/>
      </w:pPr>
      <w:r>
        <w:t>8. Indemnity</w:t>
      </w:r>
    </w:p>
    <w:p>
      <w:commentRangeStart w:id="7"/>
      <w:del w:id="12" w:author="LQ.AI Commercial counsel" w:date="2026-06-24T09:12:22Z" w16du:dateUtc="2026-06-24T09:12:22Z">
        <w:r>
          <w:delText>The Customer</w:delText>
        </w:r>
      </w:del>
      <w:ins w:id="13" w:author="LQ.AI Commercial counsel" w:date="2026-06-24T09:12:22Z" w16du:dateUtc="2026-06-24T09:12:22Z">
        <w:r>
          <w:t>Each party</w:t>
        </w:r>
      </w:ins>
      <w:commentRangeEnd w:id="7"/>
      <w:r>
        <w:rPr>
          <w:rStyle w:val="CommentReference"/>
        </w:rPr>
        <w:commentReference w:id="7"/>
      </w:r>
      <w:r>
        <w:t xml:space="preserve"> shall indemnify, defend and hold harmless the </w:t>
      </w:r>
      <w:commentRangeStart w:id="6"/>
      <w:del w:id="10" w:author="LQ.AI Commercial counsel" w:date="2026-06-24T09:12:22Z" w16du:dateUtc="2026-06-24T09:12:22Z">
        <w:r>
          <w:delText>Vendor</w:delText>
        </w:r>
      </w:del>
      <w:ins w:id="11" w:author="LQ.AI Commercial counsel" w:date="2026-06-24T09:12:22Z" w16du:dateUtc="2026-06-24T09:12:22Z">
        <w:r>
          <w:t>other party</w:t>
        </w:r>
      </w:ins>
      <w:commentRangeEnd w:id="6"/>
      <w:r>
        <w:rPr>
          <w:rStyle w:val="CommentReference"/>
        </w:rPr>
        <w:commentReference w:id="6"/>
      </w:r>
      <w:r>
        <w:t xml:space="preserve"> and its affiliates against any and all claims, losses, damages, liabilities and expenses arising from or in connection with the </w:t>
      </w:r>
      <w:commentRangeStart w:id="5"/>
      <w:del w:id="8" w:author="LQ.AI Commercial counsel" w:date="2026-06-24T09:12:22Z" w16du:dateUtc="2026-06-24T09:12:22Z">
        <w:r>
          <w:delText>Customer's use of the Services or the Customer Data.</w:delText>
        </w:r>
      </w:del>
      <w:ins w:id="9" w:author="LQ.AI Commercial counsel" w:date="2026-06-24T09:12:22Z" w16du:dateUtc="2026-06-24T09:12:22Z">
        <w:r>
          <w:t>indemnifying party's breach of this Agreement. The Vendor shall indemnify, defend and hold harmless the Customer against any third-party claim that the Services infringe a third party's intellectual property rights.</w:t>
        </w:r>
      </w:ins>
      <w:commentRangeEnd w:id="5"/>
      <w:r>
        <w:rPr>
          <w:rStyle w:val="CommentReference"/>
        </w:rPr>
        <w:commentReference w:id="5"/>
      </w:r>
    </w:p>
    <w:p>
      <w:pPr>
        <w:pStyle w:val="Heading1"/>
      </w:pPr>
      <w:r>
        <w:t>9. Limitation of Liability</w:t>
      </w:r>
    </w:p>
    <w:p>
      <w:r>
        <w:t xml:space="preserve">The Vendor's aggregate liability arising out of or in connection with this Agreement shall not exceed the total fees paid by the Customer in the </w:t>
      </w:r>
      <w:commentRangeStart w:id="4"/>
      <w:del w:id="6" w:author="LQ.AI Commercial counsel" w:date="2026-06-24T09:12:22Z" w16du:dateUtc="2026-06-24T09:12:22Z">
        <w:r>
          <w:delText>one (1) month</w:delText>
        </w:r>
      </w:del>
      <w:ins w:id="7" w:author="LQ.AI Commercial counsel" w:date="2026-06-24T09:12:22Z" w16du:dateUtc="2026-06-24T09:12:22Z">
        <w:r>
          <w:t>twelve (12) months</w:t>
        </w:r>
      </w:ins>
      <w:commentRangeEnd w:id="4"/>
      <w:r>
        <w:rPr>
          <w:rStyle w:val="CommentReference"/>
        </w:rPr>
        <w:commentReference w:id="4"/>
      </w:r>
      <w:r>
        <w:t xml:space="preserve"> preceding the </w:t>
      </w:r>
      <w:commentRangeStart w:id="3"/>
      <w:del w:id="4" w:author="LQ.AI Commercial counsel" w:date="2026-06-24T09:12:22Z" w16du:dateUtc="2026-06-24T09:12:22Z">
        <w:r>
          <w:delText>claim.</w:delText>
        </w:r>
      </w:del>
      <w:ins w:id="5" w:author="LQ.AI Commercial counsel" w:date="2026-06-24T09:12:22Z" w16du:dateUtc="2026-06-24T09:12:22Z">
        <w:r>
          <w:t>claim; provided that this limitation shall not apply to (i) a party's indemnification obligations under Section 8, (ii) breach of confidentiality obligations, (iii) infringement of the other party's intellectual property rights, or (iv) gross negligence or wilful misconduct. In no event</w:t>
        </w:r>
      </w:ins>
      <w:commentRangeEnd w:id="3"/>
      <w:r>
        <w:rPr>
          <w:rStyle w:val="CommentReference"/>
        </w:rPr>
        <w:commentReference w:id="3"/>
      </w:r>
      <w:r>
        <w:t xml:space="preserve"> In no event shall </w:t>
      </w:r>
      <w:commentRangeStart w:id="2"/>
      <w:del w:id="2" w:author="LQ.AI Commercial counsel" w:date="2026-06-24T09:12:22Z" w16du:dateUtc="2026-06-24T09:12:22Z">
        <w:r>
          <w:delText>the Vendor</w:delText>
        </w:r>
      </w:del>
      <w:ins w:id="3" w:author="LQ.AI Commercial counsel" w:date="2026-06-24T09:12:22Z" w16du:dateUtc="2026-06-24T09:12:22Z">
        <w:r>
          <w:t>either party</w:t>
        </w:r>
      </w:ins>
      <w:commentRangeEnd w:id="2"/>
      <w:r>
        <w:rPr>
          <w:rStyle w:val="CommentReference"/>
        </w:rPr>
        <w:commentReference w:id="2"/>
      </w:r>
      <w:r>
        <w:t xml:space="preserve"> be liable for any indirect, incidental, special or consequential damages, or for any loss of profits, revenue or data, even if advised of the possibility of such damages.</w:t>
      </w:r>
      <w:commentRangeStart w:id="1"/>
      <w:ins w:id="1" w:author="LQ.AI Commercial counsel" w:date="2026-06-24T09:12:22Z" w16du:dateUtc="2026-06-24T09:12:22Z">
        <w:r>
          <w:t xml:space="preserve"> The exclusions in the preceding sentence shall not apply to (i) a party's indemnification obligations under Section 8, (ii) breach of confidentiality obligations, (iii) infringement of the other party's intellectual property rights, or (iv) gross negligence or wilful misconduct.</w:t>
        </w:r>
      </w:ins>
      <w:commentRangeEnd w:id="1"/>
      <w:r>
        <w:rPr>
          <w:rStyle w:val="CommentReference"/>
        </w:rPr>
        <w:commentReference w:id="1"/>
      </w:r>
    </w:p>
    <w:p>
      <w:pPr>
        <w:pStyle w:val="Heading1"/>
      </w:pPr>
      <w:r>
        <w:t>10. Governing Law</w:t>
      </w:r>
    </w:p>
    <w:p>
      <w:r>
        <w:t>This Agreement is governed by the laws of the State of Delaware, and the parties submit to the exclusive jurisdiction of the courts of Delaware.</w:t>
      </w:r>
    </w:p>
    <w:sectPr w:rsidR="00FC693F" w:rsidRPr="0006063C" w:rsidSect="00034616">
      <w:pgSz w:w="12240" w:h="15840"/>
      <w:pgMar w:top="1440" w:right="1800" w:bottom="1440" w:left="1800" w:header="720" w:footer="720" w:gutter="0"/>
      <w:cols w:space="720"/>
      <w:docGrid w:linePitch="360"/>
    </w:sectPr>
  </w:body>
</w:document>
</file>

<file path=word/comments1.xml><?xml version="1.0" encoding="utf-8"?>
<w:comments xmlns:w="http://schemas.openxmlformats.org/wordprocessingml/2006/main" xmlns:w14="http://schemas.microsoft.com/office/word/2010/wordml" xmlns:w15="http://schemas.microsoft.com/office/word/2012/wordml" xmlns:w16cid="http://schemas.microsoft.com/office/word/2016/wordml/cid" xmlns:w16cex="http://schemas.microsoft.com/office/word/2018/wordml/cex" xmlns:mc="http://schemas.openxmlformats.org/markup-compatibility/2006" mc:Ignorable="w14 w15 w16cid w16cex">
  <w:comment w:id="1" w:author="LQ.AI Commercial counsel" w:date="2026-06-24T09:12:22Z" w:initials="LCC">
    <w:p w14:paraId="8CE1EC2C" w14:textId="77777777" w:rsidR="B7FB5731" w:rsidRDefault="B7FB5731" w:rsidP="B7FB5731">
      <w:pPr>
        <w:pStyle w:val="CommentText"/>
      </w:pPr>
      <w:r>
        <w:rPr>
          <w:rStyle w:val="CommentReference"/>
        </w:rPr>
        <w:annotationRef/>
      </w:r>
      <w:r>
        <w:t>Ensures that the indirect and consequential damages exclusion does not protect the Vendor from the most critical liabilities — indemnity, confidentiality breaches, IP infringement, and gross negligence.</w:t>
      </w:r>
    </w:p>
  </w:comment>
  <w:comment w:id="2" w:author="LQ.AI Commercial counsel" w:date="2026-06-24T09:12:22Z" w:initials="LCC">
    <w:p w14:paraId="07C3A65F" w14:textId="77777777" w:rsidR="98D07F53" w:rsidRDefault="98D07F53" w:rsidP="98D07F53">
      <w:pPr>
        <w:pStyle w:val="CommentText"/>
      </w:pPr>
      <w:r>
        <w:rPr>
          <w:rStyle w:val="CommentReference"/>
        </w:rPr>
        <w:annotationRef/>
      </w:r>
      <w:r>
        <w:t>Makes the indirect and consequential damages exclusion reciprocal rather than one-sided, so both parties equally bear the risk of consequential losses.</w:t>
      </w:r>
    </w:p>
  </w:comment>
  <w:comment w:id="3" w:author="LQ.AI Commercial counsel" w:date="2026-06-24T09:12:22Z" w:initials="LCC">
    <w:p w14:paraId="C03E88CF" w14:textId="77777777" w:rsidR="1A1586EC" w:rsidRDefault="1A1586EC" w:rsidP="1A1586EC">
      <w:pPr>
        <w:pStyle w:val="CommentText"/>
      </w:pPr>
      <w:r>
        <w:rPr>
          <w:rStyle w:val="CommentReference"/>
        </w:rPr>
        <w:annotationRef/>
      </w:r>
      <w:r>
        <w:t>Carves out the highest-risk heads of loss — indemnification, confidentiality, IP infringement, and gross negligence — from the liability cap, consistent with standard commercial practice.</w:t>
      </w:r>
    </w:p>
  </w:comment>
  <w:comment w:id="4" w:author="LQ.AI Commercial counsel" w:date="2026-06-24T09:12:22Z" w:initials="LCC">
    <w:p w14:paraId="44365C33" w14:textId="77777777" w:rsidR="A49B5919" w:rsidRDefault="A49B5919" w:rsidP="A49B5919">
      <w:pPr>
        <w:pStyle w:val="CommentText"/>
      </w:pPr>
      <w:r>
        <w:rPr>
          <w:rStyle w:val="CommentReference"/>
        </w:rPr>
        <w:annotationRef/>
      </w:r>
      <w:r>
        <w:t>One month of fees is an insufficient cap given the contract value and potential loss exposure; twelve months of fees is the market standard for enterprise SaaS agreements.</w:t>
      </w:r>
    </w:p>
  </w:comment>
  <w:comment w:id="5" w:author="LQ.AI Commercial counsel" w:date="2026-06-24T09:12:22Z" w:initials="LCC">
    <w:p w14:paraId="13892142" w14:textId="77777777" w:rsidR="889175DA" w:rsidRDefault="889175DA" w:rsidP="889175DA">
      <w:pPr>
        <w:pStyle w:val="CommentText"/>
      </w:pPr>
      <w:r>
        <w:rPr>
          <w:rStyle w:val="CommentReference"/>
        </w:rPr>
        <w:annotationRef/>
      </w:r>
      <w:r>
        <w:t>Narrows the indemnity trigger to the indemnifying party's own breach and adds a reciprocal Vendor IP infringement indemnity, which is a critical protection for any SaaS customer.</w:t>
      </w:r>
    </w:p>
  </w:comment>
  <w:comment w:id="6" w:author="LQ.AI Commercial counsel" w:date="2026-06-24T09:12:22Z" w:initials="LCC">
    <w:p w14:paraId="8CCBBFEA" w14:textId="77777777" w:rsidR="A763E7BF" w:rsidRDefault="A763E7BF" w:rsidP="A763E7BF">
      <w:pPr>
        <w:pStyle w:val="CommentText"/>
      </w:pPr>
      <w:r>
        <w:rPr>
          <w:rStyle w:val="CommentReference"/>
        </w:rPr>
        <w:annotationRef/>
      </w:r>
      <w:r>
        <w:t>Reflects the reciprocal structure of the indemnity by changing the protected party from Vendor-only to the other party, completing the mutualisation.</w:t>
      </w:r>
    </w:p>
  </w:comment>
  <w:comment w:id="7" w:author="LQ.AI Commercial counsel" w:date="2026-06-24T09:12:22Z" w:initials="LCC">
    <w:p w14:paraId="4E38C209" w14:textId="77777777" w:rsidR="DECD9CB0" w:rsidRDefault="DECD9CB0" w:rsidP="DECD9CB0">
      <w:pPr>
        <w:pStyle w:val="CommentText"/>
      </w:pPr>
      <w:r>
        <w:rPr>
          <w:rStyle w:val="CommentReference"/>
        </w:rPr>
        <w:annotationRef/>
      </w:r>
      <w:r>
        <w:t>Mutualises the one-sided indemnity so that each party bears responsibility for losses caused by its own breach rather than placing all risk on the Customer alone.</w:t>
      </w:r>
    </w:p>
  </w:comment>
  <w:comment w:id="8" w:author="LQ.AI Commercial counsel" w:date="2026-06-24T09:12:22Z" w:initials="LCC">
    <w:p w14:paraId="240FA580" w14:textId="77777777" w:rsidR="C781CAFA" w:rsidRDefault="C781CAFA" w:rsidP="C781CAFA">
      <w:pPr>
        <w:pStyle w:val="CommentText"/>
      </w:pPr>
      <w:r>
        <w:rPr>
          <w:rStyle w:val="CommentReference"/>
        </w:rPr>
        <w:annotationRef/>
      </w:r>
      <w:r>
        <w:t>Adds fundamental mutual authority-to-contract warranties and a Vendor service-conformance warranty; removes non-infringement from the disclaimer because the Vendor must not disclaim that its own services may infringe third-party rights.</w:t>
      </w:r>
    </w:p>
  </w:comment>
  <w:comment w:id="9" w:author="LQ.AI Commercial counsel" w:date="2026-06-24T09:12:22Z" w:initials="LCC">
    <w:p w14:paraId="282EDF79" w14:textId="77777777" w:rsidR="DB31E4D2" w:rsidRDefault="DB31E4D2" w:rsidP="DB31E4D2">
      <w:pPr>
        <w:pStyle w:val="CommentText"/>
      </w:pPr>
      <w:r>
        <w:rPr>
          <w:rStyle w:val="CommentReference"/>
        </w:rPr>
        <w:annotationRef/>
      </w:r>
      <w:r>
        <w:t>Limits Vendor's use of Customer Data strictly to providing the Services; removes the perpetual term and unrestricted data-use and product-improvement rights that would give Vendor a permanent, unlimited asset from Customer's data.</w:t>
      </w:r>
    </w:p>
  </w:comment>
  <w:comment w:id="10" w:author="LQ.AI Commercial counsel" w:date="2026-06-24T09:12:22Z" w:initials="LCC">
    <w:p w14:paraId="DD827BCA" w14:textId="77777777" w:rsidR="FA000A61" w:rsidRDefault="FA000A61" w:rsidP="FA000A61">
      <w:pPr>
        <w:pStyle w:val="CommentText"/>
      </w:pPr>
      <w:r>
        <w:rPr>
          <w:rStyle w:val="CommentReference"/>
        </w:rPr>
        <w:annotationRef/>
      </w:r>
      <w:r>
        <w:t>Converts an outright assignment of Customer's intellectual property rights in feedback to a non-exclusive license, preserving Customer's ownership of its own ideas and suggestions. The original sentence is only 16 words and the entire concept (assignment to license) must change; no smaller edit achieves the protection without rewriting the core obligation.</w:t>
      </w:r>
    </w:p>
  </w:comment>
  <w:comment w:id="11" w:author="LQ.AI Commercial counsel" w:date="2026-06-24T09:12:22Z" w:initials="LCC">
    <w:p w14:paraId="1716BCAB" w14:textId="77777777" w:rsidR="F66810EA" w:rsidRDefault="F66810EA" w:rsidP="F66810EA">
      <w:pPr>
        <w:pStyle w:val="CommentText"/>
      </w:pPr>
      <w:r>
        <w:rPr>
          <w:rStyle w:val="CommentReference"/>
        </w:rPr>
        <w:annotationRef/>
      </w:r>
      <w:r>
        <w:t>Protects Customer's ownership of custom work product and configurations it pays for, and prevents Customer Data from being absorbed into Vendor's platform intellectual property.</w:t>
      </w:r>
    </w:p>
  </w:comment>
  <w:comment w:id="12" w:author="LQ.AI Commercial counsel" w:date="2026-06-24T09:12:22Z" w:initials="LCC">
    <w:p w14:paraId="12B7D2CF" w14:textId="77777777" w:rsidR="61114515" w:rsidRDefault="61114515" w:rsidP="61114515">
      <w:pPr>
        <w:pStyle w:val="CommentText"/>
      </w:pPr>
      <w:r>
        <w:rPr>
          <w:rStyle w:val="CommentReference"/>
        </w:rPr>
        <w:annotationRef/>
      </w:r>
      <w:r>
        <w:t>Adds mutual termination for convenience with a proportionate refund for prepaid fees and mutual termination for material breach with cure period — essential flexibility and protections entirely absent from the original. The original sentence is only 7 words and the entire concept must change; no smaller edit can introduce these protections.</w:t>
      </w:r>
    </w:p>
  </w:comment>
  <w:comment w:id="13" w:author="LQ.AI Commercial counsel" w:date="2026-06-24T09:12:22Z" w:initials="LCC">
    <w:p w14:paraId="63C421BA" w14:textId="77777777" w:rsidR="8F0CF488" w:rsidRDefault="8F0CF488" w:rsidP="8F0CF488">
      <w:pPr>
        <w:pStyle w:val="CommentText"/>
      </w:pPr>
      <w:r>
        <w:rPr>
          <w:rStyle w:val="CommentReference"/>
        </w:rPr>
        <w:annotationRef/>
      </w:r>
      <w:r>
        <w:t>Converts the one-sided Customer-only opt-out to a mutual notice right and shortens the notice period to the market-standard sixty days.</w:t>
      </w:r>
    </w:p>
  </w:comment>
  <w:comment w:id="14" w:author="LQ.AI Commercial counsel" w:date="2026-06-24T09:12:22Z" w:initials="LCC">
    <w:p w14:paraId="B69FB7FA" w14:textId="77777777" w:rsidR="F992E03A" w:rsidRDefault="F992E03A" w:rsidP="F992E03A">
      <w:pPr>
        <w:pStyle w:val="CommentText"/>
      </w:pPr>
      <w:r>
        <w:rPr>
          <w:rStyle w:val="CommentReference"/>
        </w:rPr>
        <w:annotationRef/>
      </w:r>
      <w:r>
        <w:t>Prevents the Vendor from raising prices mid-term, which would trap the Customer in a multi-year commitment at unpredictable rates, and gives the Customer a termination right if increases are excessive.</w:t>
      </w:r>
    </w:p>
  </w:comment>
  <w:comment w:id="15" w:author="LQ.AI Commercial counsel" w:date="2026-06-24T09:12:22Z" w:initials="LCC">
    <w:p w14:paraId="C279DD3F" w14:textId="77777777" w:rsidR="4FA2DE5C" w:rsidRDefault="4FA2DE5C" w:rsidP="4FA2DE5C">
      <w:pPr>
        <w:pStyle w:val="CommentText"/>
      </w:pPr>
      <w:r>
        <w:rPr>
          <w:rStyle w:val="CommentReference"/>
        </w:rPr>
        <w:annotationRef/>
      </w:r>
      <w:r>
        <w:t>Preserves Customer's right to obtain refunds in circumstances where the Vendor breaches the Agreement or discontinues the Services, rather than having all fees irreversibly forfeited.</w:t>
      </w:r>
    </w:p>
  </w:comment>
  <w:comment w:id="16" w:author="LQ.AI Commercial counsel" w:date="2026-06-24T09:12:22Z" w:initials="LCC">
    <w:p w14:paraId="E8A6CB90" w14:textId="77777777" w:rsidR="BDB9EDA0" w:rsidRDefault="BDB9EDA0" w:rsidP="BDB9EDA0">
      <w:pPr>
        <w:pStyle w:val="CommentText"/>
      </w:pPr>
      <w:r>
        <w:rPr>
          <w:rStyle w:val="CommentReference"/>
        </w:rPr>
        <w:annotationRef/>
      </w:r>
      <w:r>
        <w:t>Prevents Vendor from unilaterally discontinuing the Services or materially reducing core functionality without Customer consent and adequate advance notice, protecting the Customer's business operations.</w:t>
      </w:r>
    </w:p>
  </w:comment>
</w:comments>
</file>

<file path=word/commentsExtended1.xml><?xml version="1.0" encoding="utf-8"?>
<w15:commentsEx xmlns:w15="http://schemas.microsoft.com/office/word/2012/wordml">
  <w15:commentEx w15:paraId="8CE1EC2C" w15:done="0"/>
  <w15:commentEx w15:paraId="07C3A65F" w15:done="0"/>
  <w15:commentEx w15:paraId="C03E88CF" w15:done="0"/>
  <w15:commentEx w15:paraId="44365C33" w15:done="0"/>
  <w15:commentEx w15:paraId="13892142" w15:done="0"/>
  <w15:commentEx w15:paraId="8CCBBFEA" w15:done="0"/>
  <w15:commentEx w15:paraId="4E38C209" w15:done="0"/>
  <w15:commentEx w15:paraId="240FA580" w15:done="0"/>
  <w15:commentEx w15:paraId="282EDF79" w15:done="0"/>
  <w15:commentEx w15:paraId="DD827BCA" w15:done="0"/>
  <w15:commentEx w15:paraId="1716BCAB" w15:done="0"/>
  <w15:commentEx w15:paraId="12B7D2CF" w15:done="0"/>
  <w15:commentEx w15:paraId="63C421BA" w15:done="0"/>
  <w15:commentEx w15:paraId="B69FB7FA" w15:done="0"/>
  <w15:commentEx w15:paraId="C279DD3F" w15:done="0"/>
  <w15:commentEx w15:paraId="E8A6CB90" w15:done="0"/>
</w15:commentsEx>
</file>

<file path=word/commentsExtensible1.xml><?xml version="1.0" encoding="utf-8"?>
<w16cex:commentsExtensible xmlns:w16cex="http://schemas.microsoft.com/office/word/2018/wordml/cex">
  <w16cex:commentExtensible w16cex:durableId="F3445017" w16cex:dateUtc="2026-06-24T09:12:22Z"/>
  <w16cex:commentExtensible w16cex:durableId="231AE635" w16cex:dateUtc="2026-06-24T09:12:22Z"/>
  <w16cex:commentExtensible w16cex:durableId="59011725" w16cex:dateUtc="2026-06-24T09:12:22Z"/>
  <w16cex:commentExtensible w16cex:durableId="9C658089" w16cex:dateUtc="2026-06-24T09:12:22Z"/>
  <w16cex:commentExtensible w16cex:durableId="F584E019" w16cex:dateUtc="2026-06-24T09:12:22Z"/>
  <w16cex:commentExtensible w16cex:durableId="643305D4" w16cex:dateUtc="2026-06-24T09:12:22Z"/>
  <w16cex:commentExtensible w16cex:durableId="03FD4D66" w16cex:dateUtc="2026-06-24T09:12:22Z"/>
  <w16cex:commentExtensible w16cex:durableId="60EBF724" w16cex:dateUtc="2026-06-24T09:12:22Z"/>
  <w16cex:commentExtensible w16cex:durableId="20D20519" w16cex:dateUtc="2026-06-24T09:12:22Z"/>
  <w16cex:commentExtensible w16cex:durableId="5CD928A5" w16cex:dateUtc="2026-06-24T09:12:22Z"/>
  <w16cex:commentExtensible w16cex:durableId="E0E91C41" w16cex:dateUtc="2026-06-24T09:12:22Z"/>
  <w16cex:commentExtensible w16cex:durableId="9E26A3E2" w16cex:dateUtc="2026-06-24T09:12:22Z"/>
  <w16cex:commentExtensible w16cex:durableId="386A5E0E" w16cex:dateUtc="2026-06-24T09:12:22Z"/>
  <w16cex:commentExtensible w16cex:durableId="266E49AB" w16cex:dateUtc="2026-06-24T09:12:22Z"/>
  <w16cex:commentExtensible w16cex:durableId="EAD9C855" w16cex:dateUtc="2026-06-24T09:12:22Z"/>
  <w16cex:commentExtensible w16cex:durableId="FC705780" w16cex:dateUtc="2026-06-24T09:12:22Z"/>
</w16cex:commentsExtensible>
</file>

<file path=word/commentsIds1.xml><?xml version="1.0" encoding="utf-8"?>
<w16cid:commentsIds xmlns:w16cid="http://schemas.microsoft.com/office/word/2016/wordml/cid">
  <w16cid:commentId w16cid:paraId="8CE1EC2C" w16cid:durableId="F3445017"/>
  <w16cid:commentId w16cid:paraId="07C3A65F" w16cid:durableId="231AE635"/>
  <w16cid:commentId w16cid:paraId="C03E88CF" w16cid:durableId="59011725"/>
  <w16cid:commentId w16cid:paraId="44365C33" w16cid:durableId="9C658089"/>
  <w16cid:commentId w16cid:paraId="13892142" w16cid:durableId="F584E019"/>
  <w16cid:commentId w16cid:paraId="8CCBBFEA" w16cid:durableId="643305D4"/>
  <w16cid:commentId w16cid:paraId="4E38C209" w16cid:durableId="03FD4D66"/>
  <w16cid:commentId w16cid:paraId="240FA580" w16cid:durableId="60EBF724"/>
  <w16cid:commentId w16cid:paraId="282EDF79" w16cid:durableId="20D20519"/>
  <w16cid:commentId w16cid:paraId="DD827BCA" w16cid:durableId="5CD928A5"/>
  <w16cid:commentId w16cid:paraId="1716BCAB" w16cid:durableId="E0E91C41"/>
  <w16cid:commentId w16cid:paraId="12B7D2CF" w16cid:durableId="9E26A3E2"/>
  <w16cid:commentId w16cid:paraId="63C421BA" w16cid:durableId="386A5E0E"/>
  <w16cid:commentId w16cid:paraId="B69FB7FA" w16cid:durableId="266E49AB"/>
  <w16cid:commentId w16cid:paraId="C279DD3F" w16cid:durableId="EAD9C855"/>
  <w16cid:commentId w16cid:paraId="E8A6CB90" w16cid:durableId="FC705780"/>
</w16cid:commentsIds>
</file>

<file path=word/fontTable.xml><?xml version="1.0" encoding="utf-8"?>
<w:font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16du="http://schemas.microsoft.com/office/word/2023/wordml/word16du"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16du="http://schemas.microsoft.com/office/word/2023/wordml/word16du"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w16du="http://schemas.microsoft.com/office/word/2023/wordml/word16du"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1.xml"/><Relationship Id="rId10" Type="http://schemas.microsoft.com/office/2011/relationships/commentsExtended" Target="commentsExtended1.xml"/><Relationship Id="rId11" Type="http://schemas.microsoft.com/office/2016/09/relationships/commentsIds" Target="commentsIds1.xml"/><Relationship Id="rId12" Type="http://schemas.microsoft.com/office/2018/08/relationships/commentsExtensible" Target="commentsExtensibl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