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This Mutual Non-Disclosure Agreement is entered into between Aegis Analytics Inc. (the "Discloser") and the counterparty identified in the signature block (the "Recipient"), to protect Confidential Information exchanged in connection with a potential business relationship.</w:t>
      </w:r>
    </w:p>
    <w:p>
      <w:pPr>
        <w:pStyle w:val="Heading1"/>
      </w:pPr>
      <w:r>
        <w:t>1. Definitions</w:t>
      </w:r>
    </w:p>
    <w:p>
      <w:r>
        <w:t>"Confidential Information" means all information disclosed by the Discloser to the Recipient, in any form and whether or not marked confidential, including all business, technical, financial and commercial information and any notes or analyses derived from it. All Confidential Information remains the property of the Discloser.</w:t>
      </w:r>
    </w:p>
    <w:p>
      <w:pPr>
        <w:pStyle w:val="Heading1"/>
      </w:pPr>
      <w:r>
        <w:t>2. Confidentiality Obligations</w:t>
      </w:r>
    </w:p>
    <w:p>
      <w:r>
        <w:t>The Recipient shall hold in strict confidence all Confidential Information and shall not disclose it to any third party or use it for any purpose other than evaluating the potential business relationship, without the prior written consent of the Discloser.</w:t>
      </w:r>
    </w:p>
    <w:p>
      <w:pPr>
        <w:pStyle w:val="Heading1"/>
      </w:pPr>
      <w:r>
        <w:t>3. Exclusions</w:t>
      </w:r>
    </w:p>
    <w:p>
      <w:r>
        <w:t>Information is not Confidential Information only to the extent the Recipient can show by written records that it was already in the public domain at the time of disclosure through no act of the Recipient.</w:t>
      </w:r>
    </w:p>
    <w:p>
      <w:pPr>
        <w:pStyle w:val="Heading1"/>
      </w:pPr>
      <w:r>
        <w:t>4. Term</w:t>
      </w:r>
    </w:p>
    <w:p>
      <w:r>
        <w:t>The Recipient's obligations of confidentiality under this Agreement shall survive in perpetuity and shall continue to bind the Recipient indefinitely after the return or destruction of the Confidential Information.</w:t>
      </w:r>
    </w:p>
    <w:p>
      <w:pPr>
        <w:pStyle w:val="Heading1"/>
      </w:pPr>
      <w:r>
        <w:t>5. Return of Information</w:t>
      </w:r>
    </w:p>
    <w:p>
      <w:r>
        <w:t>Upon the Discloser's written demand, the Recipient shall immediately return or destroy all Confidential Information and all copies, and shall certify such destruction in writing. The Recipient may not retain any copy for any reason.</w:t>
      </w:r>
    </w:p>
    <w:p>
      <w:pPr>
        <w:pStyle w:val="Heading1"/>
      </w:pPr>
      <w:r>
        <w:t>6. No Licence</w:t>
      </w:r>
    </w:p>
    <w:p>
      <w:r>
        <w:t>Nothing in this Agreement grants the Recipient any licence or right in the Confidential Information, and the Discloser may pursue any opportunity with any third party without obligation to the Recipient.</w:t>
      </w:r>
    </w:p>
    <w:p>
      <w:pPr>
        <w:pStyle w:val="Heading1"/>
      </w:pPr>
      <w:r>
        <w:t>7. Injunctive Relief</w:t>
      </w:r>
    </w:p>
    <w:p>
      <w:r>
        <w:t>The Recipient acknowledges that any breach would cause irreparable harm and agrees that the Discloser shall be entitled to injunctive relief without the requirement to post a bond or prove actual damages, in addition to any other remedy.</w:t>
      </w:r>
    </w:p>
    <w:p>
      <w:pPr>
        <w:pStyle w:val="Heading1"/>
      </w:pPr>
      <w:r>
        <w:t>8. No Warranty</w:t>
      </w:r>
    </w:p>
    <w:p>
      <w:r>
        <w:t>All Confidential Information is provided "AS IS". The Discloser makes no representation or warranty as to its accuracy or completeness and shall have no liability to the Recipient arising from the Recipient's use of or reliance on it.</w:t>
      </w:r>
    </w:p>
    <w:p>
      <w:pPr>
        <w:pStyle w:val="Heading1"/>
      </w:pPr>
      <w:r>
        <w:t>9. Indemnity</w:t>
      </w:r>
    </w:p>
    <w:p>
      <w:r>
        <w:t>The Recipient shall indemnify, defend and hold harmless the Discloser and its affiliates against any and all claims, losses, damages, liabilities and expenses arising from or in connection with the Recipient's handling of the Confidential Information.</w:t>
      </w:r>
    </w:p>
    <w:p>
      <w:pPr>
        <w:pStyle w:val="Heading1"/>
      </w:pPr>
      <w:r>
        <w:t>10. Governing Law</w:t>
      </w:r>
    </w:p>
    <w:p>
      <w:r>
        <w:t>This Agreement is governed by the laws of the State of California, and the parties submit to the exclusive jurisdiction of the courts of California.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