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PROCESSING AGREEMENT</w:t>
      </w:r>
    </w:p>
    <w:p>
      <w:r>
        <w:t>This Data Processing Agreement is entered into between the customer identified in the Order (the "Controller") and Northwind Cloud Services Ltd (the "Processor"), and governs the Processor's processing of personal data on behalf of the Controller in connection with the Services.</w:t>
      </w:r>
    </w:p>
    <w:p>
      <w:pPr>
        <w:pStyle w:val="Heading1"/>
      </w:pPr>
      <w:r>
        <w:t>1. Definitions</w:t>
      </w:r>
    </w:p>
    <w:p>
      <w:r>
        <w:t>"Personal Data", "processing", "controller", "processor" and "data subject" have the meanings given in applicable data protection law. "Sub-processor" means any third party engaged by the Processor to process Personal Data.</w:t>
      </w:r>
    </w:p>
    <w:p>
      <w:pPr>
        <w:pStyle w:val="Heading1"/>
      </w:pPr>
      <w:r>
        <w:t>2. Processing Instructions</w:t>
      </w:r>
    </w:p>
    <w:p>
      <w:r>
        <w:t>The Processor shall process the Personal Data in accordance with its own standard operating policies and as the Processor reasonably considers necessary to provide the Services, and may process the Personal Data for its own related business purposes.</w:t>
      </w:r>
    </w:p>
    <w:p>
      <w:pPr>
        <w:pStyle w:val="Heading1"/>
      </w:pPr>
      <w:r>
        <w:t>3. Use of Data</w:t>
      </w:r>
    </w:p>
    <w:p>
      <w:r>
        <w:t>The Processor may use the Personal Data, including in de-identified or aggregated form, to develop, train and improve its products, analytics and machine-learning models, and to compile statistics, for its own account and without further obligation to the Controller.</w:t>
      </w:r>
    </w:p>
    <w:p>
      <w:pPr>
        <w:pStyle w:val="Heading1"/>
      </w:pPr>
      <w:r>
        <w:t>4. Sub-processing</w:t>
      </w:r>
    </w:p>
    <w:p>
      <w:r>
        <w:t>The Processor may engage and replace Sub-processors at any time in its sole discretion and without prior notice to or authorisation from the Controller, and the Controller hereby consents to any such Sub-processor.</w:t>
      </w:r>
    </w:p>
    <w:p>
      <w:pPr>
        <w:pStyle w:val="Heading1"/>
      </w:pPr>
      <w:r>
        <w:t>5. Security</w:t>
      </w:r>
    </w:p>
    <w:p>
      <w:r>
        <w:t>The Processor shall implement such technical and organisational measures as the Processor in its sole discretion considers appropriate, and shall not be required to implement any specific measure requested by the Controller.</w:t>
      </w:r>
    </w:p>
    <w:p>
      <w:pPr>
        <w:pStyle w:val="Heading1"/>
      </w:pPr>
      <w:r>
        <w:t>6. Personal Data Breach</w:t>
      </w:r>
    </w:p>
    <w:p>
      <w:r>
        <w:t>The Processor shall notify the Controller of a personal data breach affecting the Controller's Personal Data within thirty (30) days of the Processor confirming the breach, and shall have no obligation to assist the Controller with its own notification duties.</w:t>
      </w:r>
    </w:p>
    <w:p>
      <w:pPr>
        <w:pStyle w:val="Heading1"/>
      </w:pPr>
      <w:r>
        <w:t>7. Sub-processor Liability</w:t>
      </w:r>
    </w:p>
    <w:p>
      <w:r>
        <w:t>The Processor shall not be liable for any act or omission of any Sub-processor, and the Controller's sole recourse in respect of a Sub-processor shall be against that Sub-processor directly.</w:t>
      </w:r>
    </w:p>
    <w:p>
      <w:pPr>
        <w:pStyle w:val="Heading1"/>
      </w:pPr>
      <w:r>
        <w:t>8. Audit</w:t>
      </w:r>
    </w:p>
    <w:p>
      <w:r>
        <w:t>The Controller shall have no right to audit or inspect the Processor's facilities, systems or records. The Processor may instead provide a summary certificate of compliance once per year, which the Controller agrees to accept as sufficient.</w:t>
      </w:r>
    </w:p>
    <w:p>
      <w:pPr>
        <w:pStyle w:val="Heading1"/>
      </w:pPr>
      <w:r>
        <w:t>9. International Transfers</w:t>
      </w:r>
    </w:p>
    <w:p>
      <w:r>
        <w:t>The Processor may transfer the Personal Data to, and process it in, any country in which the Processor or its Sub-processors operate, at the Processor's discretion and without implementing any specific transfer safeguard.</w:t>
      </w:r>
    </w:p>
    <w:p>
      <w:pPr>
        <w:pStyle w:val="Heading1"/>
      </w:pPr>
      <w:r>
        <w:t>10. Return and Deletion</w:t>
      </w:r>
    </w:p>
    <w:p>
      <w:r>
        <w:t>On termination the Processor shall delete the Personal Data where practicable, but may retain the Personal Data for as long as the Processor considers necessary for its own business, legal or analytics purposes.</w:t>
      </w:r>
    </w:p>
    <w:p>
      <w:pPr>
        <w:pStyle w:val="Heading1"/>
      </w:pPr>
      <w:r>
        <w:t>11. Liability</w:t>
      </w:r>
    </w:p>
    <w:p>
      <w:r>
        <w:t>The Processor's aggregate liability arising out of or in connection with this Agreement and any processing of Personal Data shall not exceed the fees paid by the Controller in the one (1) month preceding the claim.</w:t>
      </w:r>
    </w:p>
    <w:p>
      <w:pPr>
        <w:pStyle w:val="Heading1"/>
      </w:pPr>
      <w:r>
        <w:t>12. Governing Law</w:t>
      </w:r>
    </w:p>
    <w:p>
      <w:r>
        <w:t>This Agreement is governed by the laws of England and Wales, and the parties submit to the exclusive jurisdiction of the courts of England and Wales.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