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AGREEMENT</w:t>
      </w:r>
    </w:p>
    <w:p>
      <w:r>
        <w:t>This Professional Services Agreement is entered into between Meridian Consulting Group LLC (the "Supplier") and the customer identified in the Statement of Work (the "Customer"), under which the Supplier will provide the consulting services and deliverables described in each Statement of Work.</w:t>
      </w:r>
    </w:p>
    <w:p>
      <w:pPr>
        <w:pStyle w:val="Heading1"/>
      </w:pPr>
      <w:r>
        <w:t>1. Services</w:t>
      </w:r>
    </w:p>
    <w:p>
      <w:r>
        <w:t>The Supplier shall provide the services described in each Statement of Work on a time-and-materials basis. Any timelines, estimates or staffing levels are indicative only and do not bind the Supplier.</w:t>
      </w:r>
    </w:p>
    <w:p>
      <w:pPr>
        <w:pStyle w:val="Heading1"/>
      </w:pPr>
      <w:r>
        <w:t>2. Acceptance</w:t>
      </w:r>
    </w:p>
    <w:p>
      <w:r>
        <w:t>Each deliverable shall be deemed accepted unless the Customer gives written notice of rejection within three (3) days of delivery. The Customer shall pay for all deliverables whether or not accepted, and the Supplier is not obliged to correct any deliverable at its own cost.</w:t>
      </w:r>
    </w:p>
    <w:p>
      <w:pPr>
        <w:pStyle w:val="Heading1"/>
      </w:pPr>
      <w:r>
        <w:t>3. Fees and Expenses</w:t>
      </w:r>
    </w:p>
    <w:p>
      <w:r>
        <w:t>The Customer shall pay all fees on a time-and-materials basis without any cap, together with all expenses at cost, within fifteen (15) days of the invoice date. The Supplier may revise its rates at any time on written notice. All fees are non-refundable.</w:t>
      </w:r>
    </w:p>
    <w:p>
      <w:pPr>
        <w:pStyle w:val="Heading1"/>
      </w:pPr>
      <w:r>
        <w:t>4. Intellectual Property</w:t>
      </w:r>
    </w:p>
    <w:p>
      <w:r>
        <w:t>All intellectual property rights in any deliverables, work product, methodologies and materials created under this Agreement shall vest exclusively in the Supplier. The Customer is granted a non-exclusive, non-transferable licence to use the deliverables for its internal business purposes only.</w:t>
      </w:r>
    </w:p>
    <w:p>
      <w:pPr>
        <w:pStyle w:val="Heading1"/>
      </w:pPr>
      <w:r>
        <w:t>5. Warranties</w:t>
      </w:r>
    </w:p>
    <w:p>
      <w:r>
        <w:t>The services and deliverables are provided "AS IS". The Supplier does not warrant that any deliverable will conform to any specification, be fit for any particular purpose, or be free from defects, and disclaims all warranties to the fullest extent permitted by law.</w:t>
      </w:r>
    </w:p>
    <w:p>
      <w:pPr>
        <w:pStyle w:val="Heading1"/>
      </w:pPr>
      <w:r>
        <w:t>6. Personnel</w:t>
      </w:r>
    </w:p>
    <w:p>
      <w:r>
        <w:t>The Supplier may substitute, reassign or remove any personnel at any time in its sole discretion, and gives no commitment that any named individual will perform the services.</w:t>
      </w:r>
    </w:p>
    <w:p>
      <w:pPr>
        <w:pStyle w:val="Heading1"/>
      </w:pPr>
      <w:r>
        <w:t>7. Indemnity</w:t>
      </w:r>
    </w:p>
    <w:p>
      <w:r>
        <w:t>The Customer shall indemnify, defend and hold harmless the Supplier and its personnel against any and all claims, losses, damages, liabilities and expenses arising from or in connection with the services, the deliverables or the Customer's use of them.</w:t>
      </w:r>
    </w:p>
    <w:p>
      <w:pPr>
        <w:pStyle w:val="Heading1"/>
      </w:pPr>
      <w:r>
        <w:t>8. Limitation of Liability</w:t>
      </w:r>
    </w:p>
    <w:p>
      <w:r>
        <w:t>The Supplier's aggregate liability arising out of or in connection with this Agreement shall not exceed the fees paid by the Customer in the one (1) month preceding the claim. In no event shall the Supplier be liable for any indirect, incidental or consequential damages, or for any loss of profits, revenue or data.</w:t>
      </w:r>
    </w:p>
    <w:p>
      <w:pPr>
        <w:pStyle w:val="Heading1"/>
      </w:pPr>
      <w:r>
        <w:t>9. Term and Termination</w:t>
      </w:r>
    </w:p>
    <w:p>
      <w:r>
        <w:t>This Agreement continues until each Statement of Work is completed. The Supplier may terminate for convenience at any time on ten (10) days notice; the Customer may not terminate for convenience. On termination the Customer shall pay all fees for work in progress and for the full committed engagement.</w:t>
      </w:r>
    </w:p>
    <w:p>
      <w:pPr>
        <w:pStyle w:val="Heading1"/>
      </w:pPr>
      <w:r>
        <w:t>10. Governing Law</w:t>
      </w:r>
    </w:p>
    <w:p>
      <w:r>
        <w:t>This Agreement is governed by the laws of the State of Illinois, and the parties submit to the exclusive jurisdiction of the courts of Illinois.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