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Pricing</w:t>
      </w:r>
      <w:r>
        <w:t xml:space="preserve"> </w:t>
      </w:r>
      <w:r>
        <w:t xml:space="preserve">Schedule</w:t>
      </w:r>
    </w:p>
    <w:p>
      <w:pPr>
        <w:pStyle w:val="Subtitle"/>
      </w:pPr>
      <w:r>
        <w:t xml:space="preserve">Pemberton</w:t>
      </w:r>
      <w:r>
        <w:t xml:space="preserve"> </w:t>
      </w:r>
      <w:r>
        <w:t xml:space="preserve">Engineering</w:t>
      </w:r>
      <w:r>
        <w:t xml:space="preserve"> </w:t>
      </w:r>
      <w:r>
        <w:t xml:space="preserve">Ltd. —</w:t>
      </w:r>
      <w:r>
        <w:t xml:space="preserve"> </w:t>
      </w:r>
      <w:r>
        <w:t xml:space="preserve">Indirect</w:t>
      </w:r>
      <w:r>
        <w:t xml:space="preserve"> </w:t>
      </w:r>
      <w:r>
        <w:t xml:space="preserve">MRO</w:t>
      </w:r>
      <w:r>
        <w:t xml:space="preserve"> </w:t>
      </w:r>
      <w:r>
        <w:t xml:space="preserve">Framework</w:t>
      </w:r>
      <w:r>
        <w:t xml:space="preserve"> </w:t>
      </w:r>
      <w:r>
        <w:t xml:space="preserve">—</w:t>
      </w:r>
      <w:r>
        <w:t xml:space="preserve"> </w:t>
      </w:r>
      <w:r>
        <w:t xml:space="preserve">3-Year</w:t>
      </w:r>
      <w:r>
        <w:t xml:space="preserve"> </w:t>
      </w:r>
      <w:r>
        <w:t xml:space="preserve">Term</w:t>
      </w:r>
    </w:p>
    <w:p>
      <w:pPr>
        <w:pStyle w:val="FirstParagraph"/>
      </w:pPr>
      <w:r>
        <w:rPr>
          <w:bCs/>
          <w:b/>
        </w:rPr>
        <w:t xml:space="preserve">Document 03 of 7 — to be completed by the Bidder and returned with bid</w:t>
      </w:r>
    </w:p>
    <w:p>
      <w:pPr>
        <w:pStyle w:val="BodyText"/>
      </w:pPr>
      <w:r>
        <w:rPr>
          <w:bCs/>
          <w:b/>
        </w:rPr>
        <w:t xml:space="preserve">Pemberton ref:</w:t>
      </w:r>
      <w:r>
        <w:t xml:space="preserve"> </w:t>
      </w:r>
      <w:r>
        <w:t xml:space="preserve">PEL/PROC/2026-RFQ-073</w:t>
      </w:r>
      <w:r>
        <w:t xml:space="preserve"> </w:t>
      </w:r>
      <w:r>
        <w:rPr>
          <w:bCs/>
          <w:b/>
        </w:rPr>
        <w:t xml:space="preserve">Issued:</w:t>
      </w:r>
      <w:r>
        <w:t xml:space="preserve"> </w:t>
      </w:r>
      <w:r>
        <w:t xml:space="preserve">11 May 2026</w:t>
      </w:r>
    </w:p>
    <w:p>
      <w:pPr>
        <w:pStyle w:val="BodyText"/>
      </w:pPr>
      <w:r>
        <w:t xml:space="preserve">This Pricing Schedule forms part of the Master Supply Agreement (Document 02). All prices to be quoted</w:t>
      </w:r>
      <w:r>
        <w:t xml:space="preserve"> </w:t>
      </w:r>
      <w:r>
        <w:rPr>
          <w:bCs/>
          <w:b/>
        </w:rPr>
        <w:t xml:space="preserve">ex-VAT in GBP</w:t>
      </w:r>
      <w:r>
        <w:t xml:space="preserve"> </w:t>
      </w:r>
      <w:r>
        <w:t xml:space="preserve">for UK destinations and in</w:t>
      </w:r>
      <w:r>
        <w:t xml:space="preserve"> </w:t>
      </w:r>
      <w:r>
        <w:rPr>
          <w:bCs/>
          <w:b/>
        </w:rPr>
        <w:t xml:space="preserve">EUR</w:t>
      </w:r>
      <w:r>
        <w:t xml:space="preserve"> </w:t>
      </w:r>
      <w:r>
        <w:t xml:space="preserve">for EU destinations. Bidders must complete every line;</w:t>
      </w:r>
      <w:r>
        <w:t xml:space="preserve"> </w:t>
      </w:r>
      <w:r>
        <w:t xml:space="preserve">“</w:t>
      </w:r>
      <w:r>
        <w:t xml:space="preserve">POA</w:t>
      </w:r>
      <w:r>
        <w:t xml:space="preserve">”</w:t>
      </w:r>
      <w:r>
        <w:t xml:space="preserve"> </w:t>
      </w:r>
      <w:r>
        <w:t xml:space="preserve">or</w:t>
      </w:r>
      <w:r>
        <w:t xml:space="preserve"> </w:t>
      </w:r>
      <w:r>
        <w:t xml:space="preserve">“</w:t>
      </w:r>
      <w:r>
        <w:t xml:space="preserve">TBC</w:t>
      </w:r>
      <w:r>
        <w:t xml:space="preserve">”</w:t>
      </w:r>
      <w:r>
        <w:t xml:space="preserve"> </w:t>
      </w:r>
      <w:r>
        <w:t xml:space="preserve">responses will result in disqualification.</w:t>
      </w:r>
    </w:p>
    <w:bookmarkStart w:id="20" w:name="category-scope"/>
    <w:p>
      <w:pPr>
        <w:pStyle w:val="Heading1"/>
      </w:pPr>
      <w:r>
        <w:t xml:space="preserve">1. Category Scope</w:t>
      </w:r>
    </w:p>
    <w:p>
      <w:pPr>
        <w:pStyle w:val="FirstParagraph"/>
      </w:pPr>
      <w:r>
        <w:t xml:space="preserve">The framework covers the following indirect MRO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w:t>
            </w:r>
          </w:p>
        </w:tc>
        <w:tc>
          <w:tcPr/>
          <w:p>
            <w:pPr>
              <w:pStyle w:val="Compact"/>
              <w:jc w:val="left"/>
            </w:pPr>
            <w:r>
              <w:t xml:space="preserve">Category</w:t>
            </w:r>
          </w:p>
        </w:tc>
        <w:tc>
          <w:tcPr/>
          <w:p>
            <w:pPr>
              <w:pStyle w:val="Compact"/>
              <w:jc w:val="left"/>
            </w:pPr>
            <w:r>
              <w:t xml:space="preserve">Indicative Annual Spend (£)</w:t>
            </w:r>
          </w:p>
        </w:tc>
      </w:tr>
      <w:tr>
        <w:tc>
          <w:tcPr/>
          <w:p>
            <w:pPr>
              <w:pStyle w:val="Compact"/>
              <w:jc w:val="left"/>
            </w:pPr>
            <w:r>
              <w:t xml:space="preserve">A</w:t>
            </w:r>
          </w:p>
        </w:tc>
        <w:tc>
          <w:tcPr/>
          <w:p>
            <w:pPr>
              <w:pStyle w:val="Compact"/>
              <w:jc w:val="left"/>
            </w:pPr>
            <w:r>
              <w:t xml:space="preserve">Cutting tools and abrasives</w:t>
            </w:r>
          </w:p>
        </w:tc>
        <w:tc>
          <w:tcPr/>
          <w:p>
            <w:pPr>
              <w:pStyle w:val="Compact"/>
              <w:jc w:val="left"/>
            </w:pPr>
            <w:r>
              <w:t xml:space="preserve">4,200,000</w:t>
            </w:r>
          </w:p>
        </w:tc>
      </w:tr>
      <w:tr>
        <w:tc>
          <w:tcPr/>
          <w:p>
            <w:pPr>
              <w:pStyle w:val="Compact"/>
              <w:jc w:val="left"/>
            </w:pPr>
            <w:r>
              <w:t xml:space="preserve">B</w:t>
            </w:r>
          </w:p>
        </w:tc>
        <w:tc>
          <w:tcPr/>
          <w:p>
            <w:pPr>
              <w:pStyle w:val="Compact"/>
              <w:jc w:val="left"/>
            </w:pPr>
            <w:r>
              <w:t xml:space="preserve">Industrial fasteners</w:t>
            </w:r>
          </w:p>
        </w:tc>
        <w:tc>
          <w:tcPr/>
          <w:p>
            <w:pPr>
              <w:pStyle w:val="Compact"/>
              <w:jc w:val="left"/>
            </w:pPr>
            <w:r>
              <w:t xml:space="preserve">2,800,000</w:t>
            </w:r>
          </w:p>
        </w:tc>
      </w:tr>
      <w:tr>
        <w:tc>
          <w:tcPr/>
          <w:p>
            <w:pPr>
              <w:pStyle w:val="Compact"/>
              <w:jc w:val="left"/>
            </w:pPr>
            <w:r>
              <w:t xml:space="preserve">C</w:t>
            </w:r>
          </w:p>
        </w:tc>
        <w:tc>
          <w:tcPr/>
          <w:p>
            <w:pPr>
              <w:pStyle w:val="Compact"/>
              <w:jc w:val="left"/>
            </w:pPr>
            <w:r>
              <w:t xml:space="preserve">Lubricants and process fluids</w:t>
            </w:r>
          </w:p>
        </w:tc>
        <w:tc>
          <w:tcPr/>
          <w:p>
            <w:pPr>
              <w:pStyle w:val="Compact"/>
              <w:jc w:val="left"/>
            </w:pPr>
            <w:r>
              <w:t xml:space="preserve">3,400,000</w:t>
            </w:r>
          </w:p>
        </w:tc>
      </w:tr>
      <w:tr>
        <w:tc>
          <w:tcPr/>
          <w:p>
            <w:pPr>
              <w:pStyle w:val="Compact"/>
              <w:jc w:val="left"/>
            </w:pPr>
            <w:r>
              <w:t xml:space="preserve">D</w:t>
            </w:r>
          </w:p>
        </w:tc>
        <w:tc>
          <w:tcPr/>
          <w:p>
            <w:pPr>
              <w:pStyle w:val="Compact"/>
              <w:jc w:val="left"/>
            </w:pPr>
            <w:r>
              <w:t xml:space="preserve">PPE and workwear</w:t>
            </w:r>
          </w:p>
        </w:tc>
        <w:tc>
          <w:tcPr/>
          <w:p>
            <w:pPr>
              <w:pStyle w:val="Compact"/>
              <w:jc w:val="left"/>
            </w:pPr>
            <w:r>
              <w:t xml:space="preserve">1,900,000</w:t>
            </w:r>
          </w:p>
        </w:tc>
      </w:tr>
      <w:tr>
        <w:tc>
          <w:tcPr/>
          <w:p>
            <w:pPr>
              <w:pStyle w:val="Compact"/>
              <w:jc w:val="left"/>
            </w:pPr>
            <w:r>
              <w:t xml:space="preserve">E</w:t>
            </w:r>
          </w:p>
        </w:tc>
        <w:tc>
          <w:tcPr/>
          <w:p>
            <w:pPr>
              <w:pStyle w:val="Compact"/>
              <w:jc w:val="left"/>
            </w:pPr>
            <w:r>
              <w:t xml:space="preserve">Electrical components and motors</w:t>
            </w:r>
          </w:p>
        </w:tc>
        <w:tc>
          <w:tcPr/>
          <w:p>
            <w:pPr>
              <w:pStyle w:val="Compact"/>
              <w:jc w:val="left"/>
            </w:pPr>
            <w:r>
              <w:t xml:space="preserve">3,100,000</w:t>
            </w:r>
          </w:p>
        </w:tc>
      </w:tr>
      <w:tr>
        <w:tc>
          <w:tcPr/>
          <w:p>
            <w:pPr>
              <w:pStyle w:val="Compact"/>
              <w:jc w:val="left"/>
            </w:pPr>
            <w:r>
              <w:t xml:space="preserve">F</w:t>
            </w:r>
          </w:p>
        </w:tc>
        <w:tc>
          <w:tcPr/>
          <w:p>
            <w:pPr>
              <w:pStyle w:val="Compact"/>
              <w:jc w:val="left"/>
            </w:pPr>
            <w:r>
              <w:t xml:space="preserve">Pneumatics and hydraulics</w:t>
            </w:r>
          </w:p>
        </w:tc>
        <w:tc>
          <w:tcPr/>
          <w:p>
            <w:pPr>
              <w:pStyle w:val="Compact"/>
              <w:jc w:val="left"/>
            </w:pPr>
            <w:r>
              <w:t xml:space="preserve">2,000,000</w:t>
            </w:r>
          </w:p>
        </w:tc>
      </w:tr>
      <w:tr>
        <w:tc>
          <w:tcPr/>
          <w:p>
            <w:pPr>
              <w:pStyle w:val="Compact"/>
              <w:jc w:val="left"/>
            </w:pPr>
            <w:r>
              <w:t xml:space="preserve">G</w:t>
            </w:r>
          </w:p>
        </w:tc>
        <w:tc>
          <w:tcPr/>
          <w:p>
            <w:pPr>
              <w:pStyle w:val="Compact"/>
              <w:jc w:val="left"/>
            </w:pPr>
            <w:r>
              <w:t xml:space="preserve">Capital spares (nominated SKU list)</w:t>
            </w:r>
          </w:p>
        </w:tc>
        <w:tc>
          <w:tcPr/>
          <w:p>
            <w:pPr>
              <w:pStyle w:val="Compact"/>
              <w:jc w:val="left"/>
            </w:pPr>
            <w:r>
              <w:t xml:space="preserve">1,000,000</w:t>
            </w:r>
          </w:p>
        </w:tc>
      </w:tr>
      <w:tr>
        <w:tc>
          <w:tcPr/>
          <w:p>
            <w:pPr>
              <w:pStyle w:val="Compact"/>
            </w:pPr>
          </w:p>
        </w:tc>
        <w:tc>
          <w:tcPr/>
          <w:p>
            <w:pPr>
              <w:pStyle w:val="Compact"/>
              <w:jc w:val="left"/>
            </w:pPr>
            <w:r>
              <w:rPr>
                <w:bCs/>
                <w:b/>
              </w:rPr>
              <w:t xml:space="preserve">Total indicative annual spend</w:t>
            </w:r>
          </w:p>
        </w:tc>
        <w:tc>
          <w:tcPr/>
          <w:p>
            <w:pPr>
              <w:pStyle w:val="Compact"/>
              <w:jc w:val="left"/>
            </w:pPr>
            <w:r>
              <w:rPr>
                <w:bCs/>
                <w:b/>
              </w:rPr>
              <w:t xml:space="preserve">18,400,000</w:t>
            </w:r>
          </w:p>
        </w:tc>
      </w:tr>
    </w:tbl>
    <w:p>
      <w:pPr>
        <w:pStyle w:val="BodyText"/>
      </w:pPr>
      <w:r>
        <w:t xml:space="preserve">Spend figures are based on the twelve months ending 31 March 2026 and are indicative only. No commitment is made to any minimum volume.</w:t>
      </w:r>
    </w:p>
    <w:bookmarkEnd w:id="20"/>
    <w:bookmarkStart w:id="21" w:name="ceiling-prices"/>
    <w:p>
      <w:pPr>
        <w:pStyle w:val="Heading1"/>
      </w:pPr>
      <w:r>
        <w:t xml:space="preserve">2. Ceiling Prices</w:t>
      </w:r>
    </w:p>
    <w:p>
      <w:pPr>
        <w:pStyle w:val="FirstParagraph"/>
      </w:pPr>
      <w:r>
        <w:t xml:space="preserve">For each SKU in Appendix A (the SKU master list — 1,247 SKUs), bidders must quote a unit ceiling price. The ceiling price represents the maximum the Bidder may charge during the first twelve (12) months of the Term, irrespective of actual market price movements.</w:t>
      </w:r>
    </w:p>
    <w:bookmarkEnd w:id="21"/>
    <w:bookmarkStart w:id="22" w:name="rebate-ladder"/>
    <w:p>
      <w:pPr>
        <w:pStyle w:val="Heading1"/>
      </w:pPr>
      <w:r>
        <w:t xml:space="preserve">3. Rebate Ladder</w:t>
      </w:r>
    </w:p>
    <w:p>
      <w:pPr>
        <w:pStyle w:val="FirstParagraph"/>
      </w:pPr>
      <w:r>
        <w:t xml:space="preserve">Bidders shall propose a rebate structure on the following ladder. Rebates accrue on aggregated group spend (across all UK and EU sites) per calendar quarter and are paid in arrears within thirty (30) days of quarter end by credit note.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Quarterly aggregate spend (£)</w:t>
            </w:r>
          </w:p>
        </w:tc>
        <w:tc>
          <w:tcPr/>
          <w:p>
            <w:pPr>
              <w:pStyle w:val="Compact"/>
              <w:jc w:val="left"/>
            </w:pPr>
            <w:r>
              <w:t xml:space="preserve">Min. rebate %</w:t>
            </w:r>
          </w:p>
        </w:tc>
      </w:tr>
      <w:tr>
        <w:tc>
          <w:tcPr/>
          <w:p>
            <w:pPr>
              <w:pStyle w:val="Compact"/>
              <w:jc w:val="left"/>
            </w:pPr>
            <w:r>
              <w:t xml:space="preserve">1</w:t>
            </w:r>
          </w:p>
        </w:tc>
        <w:tc>
          <w:tcPr/>
          <w:p>
            <w:pPr>
              <w:pStyle w:val="Compact"/>
              <w:jc w:val="left"/>
            </w:pPr>
            <w:r>
              <w:t xml:space="preserve">Up to 750,000</w:t>
            </w:r>
          </w:p>
        </w:tc>
        <w:tc>
          <w:tcPr/>
          <w:p>
            <w:pPr>
              <w:pStyle w:val="Compact"/>
              <w:jc w:val="left"/>
            </w:pPr>
            <w:r>
              <w:t xml:space="preserve">0.5%</w:t>
            </w:r>
          </w:p>
        </w:tc>
      </w:tr>
      <w:tr>
        <w:tc>
          <w:tcPr/>
          <w:p>
            <w:pPr>
              <w:pStyle w:val="Compact"/>
              <w:jc w:val="left"/>
            </w:pPr>
            <w:r>
              <w:t xml:space="preserve">2</w:t>
            </w:r>
          </w:p>
        </w:tc>
        <w:tc>
          <w:tcPr/>
          <w:p>
            <w:pPr>
              <w:pStyle w:val="Compact"/>
              <w:jc w:val="left"/>
            </w:pPr>
            <w:r>
              <w:t xml:space="preserve">750,001 – 1,500,000</w:t>
            </w:r>
          </w:p>
        </w:tc>
        <w:tc>
          <w:tcPr/>
          <w:p>
            <w:pPr>
              <w:pStyle w:val="Compact"/>
              <w:jc w:val="left"/>
            </w:pPr>
            <w:r>
              <w:t xml:space="preserve">1.5%</w:t>
            </w:r>
          </w:p>
        </w:tc>
      </w:tr>
      <w:tr>
        <w:tc>
          <w:tcPr/>
          <w:p>
            <w:pPr>
              <w:pStyle w:val="Compact"/>
              <w:jc w:val="left"/>
            </w:pPr>
            <w:r>
              <w:t xml:space="preserve">3</w:t>
            </w:r>
          </w:p>
        </w:tc>
        <w:tc>
          <w:tcPr/>
          <w:p>
            <w:pPr>
              <w:pStyle w:val="Compact"/>
              <w:jc w:val="left"/>
            </w:pPr>
            <w:r>
              <w:t xml:space="preserve">1,500,001 – 2,500,000</w:t>
            </w:r>
          </w:p>
        </w:tc>
        <w:tc>
          <w:tcPr/>
          <w:p>
            <w:pPr>
              <w:pStyle w:val="Compact"/>
              <w:jc w:val="left"/>
            </w:pPr>
            <w:r>
              <w:t xml:space="preserve">2.5%</w:t>
            </w:r>
          </w:p>
        </w:tc>
      </w:tr>
      <w:tr>
        <w:tc>
          <w:tcPr/>
          <w:p>
            <w:pPr>
              <w:pStyle w:val="Compact"/>
              <w:jc w:val="left"/>
            </w:pPr>
            <w:r>
              <w:t xml:space="preserve">4</w:t>
            </w:r>
          </w:p>
        </w:tc>
        <w:tc>
          <w:tcPr/>
          <w:p>
            <w:pPr>
              <w:pStyle w:val="Compact"/>
              <w:jc w:val="left"/>
            </w:pPr>
            <w:r>
              <w:t xml:space="preserve">Above 2,500,000</w:t>
            </w:r>
          </w:p>
        </w:tc>
        <w:tc>
          <w:tcPr/>
          <w:p>
            <w:pPr>
              <w:pStyle w:val="Compact"/>
              <w:jc w:val="left"/>
            </w:pPr>
            <w:r>
              <w:t xml:space="preserve">4.0%</w:t>
            </w:r>
          </w:p>
        </w:tc>
      </w:tr>
    </w:tbl>
    <w:p>
      <w:pPr>
        <w:pStyle w:val="BodyText"/>
      </w:pPr>
      <w:r>
        <w:t xml:space="preserve">Bidders may propose higher rebate percentages or additional tiers in their bid response.</w:t>
      </w:r>
    </w:p>
    <w:bookmarkEnd w:id="22"/>
    <w:bookmarkStart w:id="23" w:name="volume-discount-triggers"/>
    <w:p>
      <w:pPr>
        <w:pStyle w:val="Heading1"/>
      </w:pPr>
      <w:r>
        <w:t xml:space="preserve">4. Volume Discount Triggers</w:t>
      </w:r>
    </w:p>
    <w:p>
      <w:pPr>
        <w:pStyle w:val="FirstParagraph"/>
      </w:pPr>
      <w:r>
        <w:t xml:space="preserve">Quarterly volume discounts above the rebate ladder apply automatically on the following category-level triggers:</w:t>
      </w:r>
    </w:p>
    <w:p>
      <w:pPr>
        <w:numPr>
          <w:ilvl w:val="0"/>
          <w:numId w:val="1001"/>
        </w:numPr>
        <w:pStyle w:val="Compact"/>
      </w:pPr>
      <w:r>
        <w:t xml:space="preserve">Category A spend exceeds £1.2m in a quarter: additional 1.0% on Category A</w:t>
      </w:r>
    </w:p>
    <w:p>
      <w:pPr>
        <w:numPr>
          <w:ilvl w:val="0"/>
          <w:numId w:val="1001"/>
        </w:numPr>
        <w:pStyle w:val="Compact"/>
      </w:pPr>
      <w:r>
        <w:t xml:space="preserve">Category C spend exceeds £1.0m in a quarter: additional 0.75% on Category C</w:t>
      </w:r>
    </w:p>
    <w:p>
      <w:pPr>
        <w:numPr>
          <w:ilvl w:val="0"/>
          <w:numId w:val="1001"/>
        </w:numPr>
        <w:pStyle w:val="Compact"/>
      </w:pPr>
      <w:r>
        <w:t xml:space="preserve">Category E spend exceeds £900k in a quarter: additional 1.0% on Category E</w:t>
      </w:r>
    </w:p>
    <w:bookmarkEnd w:id="23"/>
    <w:bookmarkStart w:id="24" w:name="currency-and-payment"/>
    <w:p>
      <w:pPr>
        <w:pStyle w:val="Heading1"/>
      </w:pPr>
      <w:r>
        <w:t xml:space="preserve">5. Currency and Payment</w:t>
      </w:r>
    </w:p>
    <w:p>
      <w:pPr>
        <w:pStyle w:val="FirstParagraph"/>
      </w:pPr>
      <w:r>
        <w:t xml:space="preserve">5.1 UK invoices in GBP. EU invoices in EUR at the local site’s billing entity.</w:t>
      </w:r>
    </w:p>
    <w:p>
      <w:pPr>
        <w:pStyle w:val="BodyText"/>
      </w:pPr>
      <w:r>
        <w:t xml:space="preserve">5.2 Foreign exchange risk is borne by the Supplier. No FX-related price adjustments are permitted within the first twelve (12) months.</w:t>
      </w:r>
    </w:p>
    <w:p>
      <w:pPr>
        <w:pStyle w:val="BodyText"/>
      </w:pPr>
      <w:r>
        <w:t xml:space="preserve">5.3 Payment terms per MSA clause 6 (90 days from receipt of valid invoice).</w:t>
      </w:r>
    </w:p>
    <w:bookmarkEnd w:id="24"/>
    <w:bookmarkStart w:id="25" w:name="open-book-costing-for-top-50-skus"/>
    <w:p>
      <w:pPr>
        <w:pStyle w:val="Heading1"/>
      </w:pPr>
      <w:r>
        <w:t xml:space="preserve">6. Open-Book Costing for Top-50 SKUs</w:t>
      </w:r>
    </w:p>
    <w:p>
      <w:pPr>
        <w:pStyle w:val="FirstParagraph"/>
      </w:pPr>
      <w:r>
        <w:t xml:space="preserve">For the fifty (50) highest-spend SKUs as identified by Buyer from time to time, Supplier shall provide open-book costing comprising landed cost, Supplier margin, and any rebates received from upstream manufacturers. Buyer reserves the right to require margin compression where Supplier margin exceeds twelve percent (12%) on any open-book SKU.</w:t>
      </w:r>
    </w:p>
    <w:bookmarkEnd w:id="25"/>
    <w:bookmarkStart w:id="26" w:name="most-favoured-customer"/>
    <w:p>
      <w:pPr>
        <w:pStyle w:val="Heading1"/>
      </w:pPr>
      <w:r>
        <w:t xml:space="preserve">7. Most-Favoured-Customer</w:t>
      </w:r>
    </w:p>
    <w:p>
      <w:pPr>
        <w:pStyle w:val="FirstParagraph"/>
      </w:pPr>
      <w:r>
        <w:t xml:space="preserve">Supplier represents that, for substantially comparable Goods supplied on substantially comparable terms, the prices quoted under this Pricing Schedule are no less favourable than those offered to any other customer of Supplier. Supplier shall promptly notify Buyer of any improvement in pricing offered to a third party and shall extend such improvement to Buyer.</w:t>
      </w:r>
    </w:p>
    <w:bookmarkEnd w:id="26"/>
    <w:bookmarkStart w:id="27" w:name="pricing-schedule-return-format"/>
    <w:p>
      <w:pPr>
        <w:pStyle w:val="Heading1"/>
      </w:pPr>
      <w:r>
        <w:t xml:space="preserve">8. Pricing Schedule Return Format</w:t>
      </w:r>
    </w:p>
    <w:p>
      <w:pPr>
        <w:pStyle w:val="FirstParagraph"/>
      </w:pPr>
      <w:r>
        <w:t xml:space="preserve">Bidders shall return Appendix A as an Excel workbook with the columns set out in the template. PDF returns will not be accepted. Bidders must also provide:</w:t>
      </w:r>
    </w:p>
    <w:p>
      <w:pPr>
        <w:numPr>
          <w:ilvl w:val="0"/>
          <w:numId w:val="1002"/>
        </w:numPr>
        <w:pStyle w:val="Compact"/>
      </w:pPr>
      <w:r>
        <w:t xml:space="preserve">A written justification for any SKU where the quoted ceiling price exceeds Buyer’s internal benchmark by more than twenty percent (20%) (Buyer will share benchmark deltas during the clarification window with shortlisted bidders);</w:t>
      </w:r>
    </w:p>
    <w:p>
      <w:pPr>
        <w:numPr>
          <w:ilvl w:val="0"/>
          <w:numId w:val="1002"/>
        </w:numPr>
        <w:pStyle w:val="Compact"/>
      </w:pPr>
      <w:r>
        <w:t xml:space="preserve">An explanation of methodology for any FX, freight, or duty assumptions baked into landed cost;</w:t>
      </w:r>
    </w:p>
    <w:p>
      <w:pPr>
        <w:numPr>
          <w:ilvl w:val="0"/>
          <w:numId w:val="1002"/>
        </w:numPr>
        <w:pStyle w:val="Compact"/>
      </w:pPr>
      <w:r>
        <w:t xml:space="preserve">A statement of any sustainability premia included in pricing (e.g. low-carbon steel, recycled-content fasteners).</w:t>
      </w:r>
    </w:p>
    <w:bookmarkEnd w:id="27"/>
    <w:bookmarkStart w:id="28" w:name="appendix-a-sku-master-list-extract"/>
    <w:p>
      <w:pPr>
        <w:pStyle w:val="Heading1"/>
      </w:pPr>
      <w:r>
        <w:t xml:space="preserve">Appendix A — SKU Master List (Extract)</w:t>
      </w:r>
    </w:p>
    <w:tbl>
      <w:tblPr>
        <w:tblStyle w:val="Table"/>
        <w:tblW w:type="pct" w:w="5000"/>
        <w:tblLook w:firstRow="1" w:lastRow="0" w:firstColumn="0" w:lastColumn="0" w:noHBand="0" w:noVBand="0" w:val="0020"/>
        <w:jc w:val="start"/>
      </w:tblPr>
      <w:tblGrid>
        <w:gridCol w:w="573"/>
        <w:gridCol w:w="1492"/>
        <w:gridCol w:w="573"/>
        <w:gridCol w:w="2640"/>
        <w:gridCol w:w="2640"/>
      </w:tblGrid>
      <w:tr>
        <w:trPr>
          <w:tblHeader w:val="true"/>
        </w:trPr>
        <w:tc>
          <w:tcPr/>
          <w:p>
            <w:pPr>
              <w:pStyle w:val="Compact"/>
              <w:jc w:val="left"/>
            </w:pPr>
            <w:r>
              <w:t xml:space="preserve">SKU</w:t>
            </w:r>
          </w:p>
        </w:tc>
        <w:tc>
          <w:tcPr/>
          <w:p>
            <w:pPr>
              <w:pStyle w:val="Compact"/>
              <w:jc w:val="left"/>
            </w:pPr>
            <w:r>
              <w:t xml:space="preserve">Description</w:t>
            </w:r>
          </w:p>
        </w:tc>
        <w:tc>
          <w:tcPr/>
          <w:p>
            <w:pPr>
              <w:pStyle w:val="Compact"/>
              <w:jc w:val="left"/>
            </w:pPr>
            <w:r>
              <w:t xml:space="preserve">UoM</w:t>
            </w:r>
          </w:p>
        </w:tc>
        <w:tc>
          <w:tcPr/>
          <w:p>
            <w:pPr>
              <w:pStyle w:val="Compact"/>
              <w:jc w:val="right"/>
            </w:pPr>
            <w:r>
              <w:t xml:space="preserve">Indicative annual qty</w:t>
            </w:r>
          </w:p>
        </w:tc>
        <w:tc>
          <w:tcPr/>
          <w:p>
            <w:pPr>
              <w:pStyle w:val="Compact"/>
              <w:jc w:val="right"/>
            </w:pPr>
            <w:r>
              <w:t xml:space="preserve">Bid ceiling price (£)</w:t>
            </w:r>
          </w:p>
        </w:tc>
      </w:tr>
      <w:tr>
        <w:tc>
          <w:tcPr/>
          <w:p>
            <w:pPr>
              <w:pStyle w:val="Compact"/>
              <w:jc w:val="left"/>
            </w:pPr>
            <w:r>
              <w:t xml:space="preserve">A-0001</w:t>
            </w:r>
          </w:p>
        </w:tc>
        <w:tc>
          <w:tcPr/>
          <w:p>
            <w:pPr>
              <w:pStyle w:val="Compact"/>
              <w:jc w:val="left"/>
            </w:pPr>
            <w:r>
              <w:t xml:space="preserve">HSS twist drill bit, 6mm</w:t>
            </w:r>
          </w:p>
        </w:tc>
        <w:tc>
          <w:tcPr/>
          <w:p>
            <w:pPr>
              <w:pStyle w:val="Compact"/>
              <w:jc w:val="left"/>
            </w:pPr>
            <w:r>
              <w:t xml:space="preserve">each</w:t>
            </w:r>
          </w:p>
        </w:tc>
        <w:tc>
          <w:tcPr/>
          <w:p>
            <w:pPr>
              <w:pStyle w:val="Compact"/>
              <w:jc w:val="right"/>
            </w:pPr>
            <w:r>
              <w:t xml:space="preserve">12,400</w:t>
            </w:r>
          </w:p>
        </w:tc>
        <w:tc>
          <w:tcPr/>
          <w:p>
            <w:pPr>
              <w:pStyle w:val="Compact"/>
              <w:jc w:val="right"/>
            </w:pPr>
            <w:r>
              <w:t xml:space="preserve">__________</w:t>
            </w:r>
          </w:p>
        </w:tc>
      </w:tr>
      <w:tr>
        <w:tc>
          <w:tcPr/>
          <w:p>
            <w:pPr>
              <w:pStyle w:val="Compact"/>
              <w:jc w:val="left"/>
            </w:pPr>
            <w:r>
              <w:t xml:space="preserve">A-0002</w:t>
            </w:r>
          </w:p>
        </w:tc>
        <w:tc>
          <w:tcPr/>
          <w:p>
            <w:pPr>
              <w:pStyle w:val="Compact"/>
              <w:jc w:val="left"/>
            </w:pPr>
            <w:r>
              <w:t xml:space="preserve">Carbide insert, CCMT 09T308</w:t>
            </w:r>
          </w:p>
        </w:tc>
        <w:tc>
          <w:tcPr/>
          <w:p>
            <w:pPr>
              <w:pStyle w:val="Compact"/>
              <w:jc w:val="left"/>
            </w:pPr>
            <w:r>
              <w:t xml:space="preserve">each</w:t>
            </w:r>
          </w:p>
        </w:tc>
        <w:tc>
          <w:tcPr/>
          <w:p>
            <w:pPr>
              <w:pStyle w:val="Compact"/>
              <w:jc w:val="right"/>
            </w:pPr>
            <w:r>
              <w:t xml:space="preserve">38,200</w:t>
            </w:r>
          </w:p>
        </w:tc>
        <w:tc>
          <w:tcPr/>
          <w:p>
            <w:pPr>
              <w:pStyle w:val="Compact"/>
              <w:jc w:val="right"/>
            </w:pPr>
            <w:r>
              <w:t xml:space="preserve">__________</w:t>
            </w:r>
          </w:p>
        </w:tc>
      </w:tr>
      <w:tr>
        <w:tc>
          <w:tcPr/>
          <w:p>
            <w:pPr>
              <w:pStyle w:val="Compact"/>
              <w:jc w:val="left"/>
            </w:pPr>
            <w:r>
              <w:t xml:space="preserve">A-0103</w:t>
            </w:r>
          </w:p>
        </w:tc>
        <w:tc>
          <w:tcPr/>
          <w:p>
            <w:pPr>
              <w:pStyle w:val="Compact"/>
              <w:jc w:val="left"/>
            </w:pPr>
            <w:r>
              <w:t xml:space="preserve">Diamond abrasive disc, 230mm</w:t>
            </w:r>
          </w:p>
        </w:tc>
        <w:tc>
          <w:tcPr/>
          <w:p>
            <w:pPr>
              <w:pStyle w:val="Compact"/>
              <w:jc w:val="left"/>
            </w:pPr>
            <w:r>
              <w:t xml:space="preserve">each</w:t>
            </w:r>
          </w:p>
        </w:tc>
        <w:tc>
          <w:tcPr/>
          <w:p>
            <w:pPr>
              <w:pStyle w:val="Compact"/>
              <w:jc w:val="right"/>
            </w:pPr>
            <w:r>
              <w:t xml:space="preserve">6,900</w:t>
            </w:r>
          </w:p>
        </w:tc>
        <w:tc>
          <w:tcPr/>
          <w:p>
            <w:pPr>
              <w:pStyle w:val="Compact"/>
              <w:jc w:val="right"/>
            </w:pPr>
            <w:r>
              <w:t xml:space="preserve">__________</w:t>
            </w:r>
          </w:p>
        </w:tc>
      </w:tr>
      <w:tr>
        <w:tc>
          <w:tcPr/>
          <w:p>
            <w:pPr>
              <w:pStyle w:val="Compact"/>
              <w:jc w:val="left"/>
            </w:pPr>
            <w:r>
              <w:t xml:space="preserve">B-0044</w:t>
            </w:r>
          </w:p>
        </w:tc>
        <w:tc>
          <w:tcPr/>
          <w:p>
            <w:pPr>
              <w:pStyle w:val="Compact"/>
              <w:jc w:val="left"/>
            </w:pPr>
            <w:r>
              <w:t xml:space="preserve">M12 hex bolt, A2-70, 60mm</w:t>
            </w:r>
          </w:p>
        </w:tc>
        <w:tc>
          <w:tcPr/>
          <w:p>
            <w:pPr>
              <w:pStyle w:val="Compact"/>
              <w:jc w:val="left"/>
            </w:pPr>
            <w:r>
              <w:t xml:space="preserve">each</w:t>
            </w:r>
          </w:p>
        </w:tc>
        <w:tc>
          <w:tcPr/>
          <w:p>
            <w:pPr>
              <w:pStyle w:val="Compact"/>
              <w:jc w:val="right"/>
            </w:pPr>
            <w:r>
              <w:t xml:space="preserve">184,000</w:t>
            </w:r>
          </w:p>
        </w:tc>
        <w:tc>
          <w:tcPr/>
          <w:p>
            <w:pPr>
              <w:pStyle w:val="Compact"/>
              <w:jc w:val="right"/>
            </w:pPr>
            <w:r>
              <w:t xml:space="preserve">__________</w:t>
            </w:r>
          </w:p>
        </w:tc>
      </w:tr>
      <w:tr>
        <w:tc>
          <w:tcPr/>
          <w:p>
            <w:pPr>
              <w:pStyle w:val="Compact"/>
              <w:jc w:val="left"/>
            </w:pPr>
            <w:r>
              <w:t xml:space="preserve">C-0017</w:t>
            </w:r>
          </w:p>
        </w:tc>
        <w:tc>
          <w:tcPr/>
          <w:p>
            <w:pPr>
              <w:pStyle w:val="Compact"/>
              <w:jc w:val="left"/>
            </w:pPr>
            <w:r>
              <w:t xml:space="preserve">ISO VG 68 hydraulic oil</w:t>
            </w:r>
          </w:p>
        </w:tc>
        <w:tc>
          <w:tcPr/>
          <w:p>
            <w:pPr>
              <w:pStyle w:val="Compact"/>
              <w:jc w:val="left"/>
            </w:pPr>
            <w:r>
              <w:t xml:space="preserve">208L drum</w:t>
            </w:r>
          </w:p>
        </w:tc>
        <w:tc>
          <w:tcPr/>
          <w:p>
            <w:pPr>
              <w:pStyle w:val="Compact"/>
              <w:jc w:val="right"/>
            </w:pPr>
            <w:r>
              <w:t xml:space="preserve">412</w:t>
            </w:r>
          </w:p>
        </w:tc>
        <w:tc>
          <w:tcPr/>
          <w:p>
            <w:pPr>
              <w:pStyle w:val="Compact"/>
              <w:jc w:val="right"/>
            </w:pPr>
            <w:r>
              <w:t xml:space="preserve">__________</w:t>
            </w:r>
          </w:p>
        </w:tc>
      </w:tr>
      <w:tr>
        <w:tc>
          <w:tcPr/>
          <w:p>
            <w:pPr>
              <w:pStyle w:val="Compact"/>
              <w:jc w:val="left"/>
            </w:pPr>
            <w:r>
              <w:t xml:space="preserve">D-0202</w:t>
            </w:r>
          </w:p>
        </w:tc>
        <w:tc>
          <w:tcPr/>
          <w:p>
            <w:pPr>
              <w:pStyle w:val="Compact"/>
              <w:jc w:val="left"/>
            </w:pPr>
            <w:r>
              <w:t xml:space="preserve">Cut-resistant glove level D, size L</w:t>
            </w:r>
          </w:p>
        </w:tc>
        <w:tc>
          <w:tcPr/>
          <w:p>
            <w:pPr>
              <w:pStyle w:val="Compact"/>
              <w:jc w:val="left"/>
            </w:pPr>
            <w:r>
              <w:t xml:space="preserve">pair</w:t>
            </w:r>
          </w:p>
        </w:tc>
        <w:tc>
          <w:tcPr/>
          <w:p>
            <w:pPr>
              <w:pStyle w:val="Compact"/>
              <w:jc w:val="right"/>
            </w:pPr>
            <w:r>
              <w:t xml:space="preserve">24,800</w:t>
            </w:r>
          </w:p>
        </w:tc>
        <w:tc>
          <w:tcPr/>
          <w:p>
            <w:pPr>
              <w:pStyle w:val="Compact"/>
              <w:jc w:val="right"/>
            </w:pPr>
            <w:r>
              <w:t xml:space="preserve">__________</w:t>
            </w:r>
          </w:p>
        </w:tc>
      </w:tr>
      <w:tr>
        <w:tc>
          <w:tcPr/>
          <w:p>
            <w:pPr>
              <w:pStyle w:val="Compact"/>
              <w:jc w:val="left"/>
            </w:pPr>
            <w:r>
              <w:t xml:space="preserve">E-0091</w:t>
            </w:r>
          </w:p>
        </w:tc>
        <w:tc>
          <w:tcPr/>
          <w:p>
            <w:pPr>
              <w:pStyle w:val="Compact"/>
              <w:jc w:val="left"/>
            </w:pPr>
            <w:r>
              <w:t xml:space="preserve">3-phase induction motor 5.5kW IE3</w:t>
            </w:r>
          </w:p>
        </w:tc>
        <w:tc>
          <w:tcPr/>
          <w:p>
            <w:pPr>
              <w:pStyle w:val="Compact"/>
              <w:jc w:val="left"/>
            </w:pPr>
            <w:r>
              <w:t xml:space="preserve">each</w:t>
            </w:r>
          </w:p>
        </w:tc>
        <w:tc>
          <w:tcPr/>
          <w:p>
            <w:pPr>
              <w:pStyle w:val="Compact"/>
              <w:jc w:val="right"/>
            </w:pPr>
            <w:r>
              <w:t xml:space="preserve">92</w:t>
            </w:r>
          </w:p>
        </w:tc>
        <w:tc>
          <w:tcPr/>
          <w:p>
            <w:pPr>
              <w:pStyle w:val="Compact"/>
              <w:jc w:val="right"/>
            </w:pPr>
            <w:r>
              <w:t xml:space="preserve">__________</w:t>
            </w:r>
          </w:p>
        </w:tc>
      </w:tr>
      <w:tr>
        <w:tc>
          <w:tcPr/>
          <w:p>
            <w:pPr>
              <w:pStyle w:val="Compact"/>
              <w:jc w:val="left"/>
            </w:pPr>
            <w:r>
              <w:t xml:space="preserve">F-0028</w:t>
            </w:r>
          </w:p>
        </w:tc>
        <w:tc>
          <w:tcPr/>
          <w:p>
            <w:pPr>
              <w:pStyle w:val="Compact"/>
              <w:jc w:val="left"/>
            </w:pPr>
            <w:r>
              <w:t xml:space="preserve">Pneumatic cylinder ISO 15552 80x200</w:t>
            </w:r>
          </w:p>
        </w:tc>
        <w:tc>
          <w:tcPr/>
          <w:p>
            <w:pPr>
              <w:pStyle w:val="Compact"/>
              <w:jc w:val="left"/>
            </w:pPr>
            <w:r>
              <w:t xml:space="preserve">each</w:t>
            </w:r>
          </w:p>
        </w:tc>
        <w:tc>
          <w:tcPr/>
          <w:p>
            <w:pPr>
              <w:pStyle w:val="Compact"/>
              <w:jc w:val="right"/>
            </w:pPr>
            <w:r>
              <w:t xml:space="preserve">148</w:t>
            </w:r>
          </w:p>
        </w:tc>
        <w:tc>
          <w:tcPr/>
          <w:p>
            <w:pPr>
              <w:pStyle w:val="Compact"/>
              <w:jc w:val="right"/>
            </w:pPr>
            <w:r>
              <w:t xml:space="preserve">__________</w:t>
            </w:r>
          </w:p>
        </w:tc>
      </w:tr>
      <w:tr>
        <w:tc>
          <w:tcPr/>
          <w:p>
            <w:pPr>
              <w:pStyle w:val="Compact"/>
              <w:jc w:val="left"/>
            </w:pPr>
            <w:r>
              <w:t xml:space="preserve">G-0007</w:t>
            </w:r>
          </w:p>
        </w:tc>
        <w:tc>
          <w:tcPr/>
          <w:p>
            <w:pPr>
              <w:pStyle w:val="Compact"/>
              <w:jc w:val="left"/>
            </w:pPr>
            <w:r>
              <w:t xml:space="preserve">Bearing 6308-2RS</w:t>
            </w:r>
          </w:p>
        </w:tc>
        <w:tc>
          <w:tcPr/>
          <w:p>
            <w:pPr>
              <w:pStyle w:val="Compact"/>
              <w:jc w:val="left"/>
            </w:pPr>
            <w:r>
              <w:t xml:space="preserve">each</w:t>
            </w:r>
          </w:p>
        </w:tc>
        <w:tc>
          <w:tcPr/>
          <w:p>
            <w:pPr>
              <w:pStyle w:val="Compact"/>
              <w:jc w:val="right"/>
            </w:pPr>
            <w:r>
              <w:t xml:space="preserve">2,420</w:t>
            </w:r>
          </w:p>
        </w:tc>
        <w:tc>
          <w:tcPr/>
          <w:p>
            <w:pPr>
              <w:pStyle w:val="Compact"/>
              <w:jc w:val="right"/>
            </w:pPr>
            <w:r>
              <w:t xml:space="preserve">__________</w:t>
            </w:r>
          </w:p>
        </w:tc>
      </w:tr>
    </w:tbl>
    <w:p>
      <w:pPr>
        <w:pStyle w:val="BodyText"/>
      </w:pPr>
      <w:r>
        <w:rPr>
          <w:iCs/>
          <w:i/>
        </w:rPr>
        <w:t xml:space="preserve">[Full SKU master list of 1,247 lines provided as separate Excel workbook on portal — extract above is illustrative.]</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Schedule</dc:title>
  <dc:creator/>
  <cp:keywords/>
  <dcterms:created xsi:type="dcterms:W3CDTF">2026-05-25T19:55:00Z</dcterms:created>
  <dcterms:modified xsi:type="dcterms:W3CDTF">2026-05-25T19:55:00Z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Pemberton Engineering Ltd. — Indirect MRO Framework — 3-Year Term</vt:lpwstr>
  </property>
</Properties>
</file>