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f4">
      <w:pPr>
        <w:rPr/>
      </w:pPr>
      <w:r>
        <w:rPr/>
        <w:t xml:space="preserve">PARAMB ID: REDLINE MEMO — PEMBERTON ENGINEERING RFQ</w:t>
      </w:r>
    </w:p>
    <w:p w14:paraId="000000f5">
      <w:pPr>
        <w:rPr/>
      </w:pPr>
      <w:r>
        <w:rPr/>
        <w:t xml:space="preserve">Bidder Commercial Lead</w:t>
      </w:r>
    </w:p>
    <w:p w14:paraId="000000f6">
      <w:pPr>
        <w:rPr/>
      </w:pPr>
      <w:r>
        <w:rPr/>
        <w:t xml:space="preserve">25 May 2026</w:t>
      </w:r>
    </w:p>
    <w:p w14:paraId="000000f7">
      <w:pPr>
        <w:rPr/>
      </w:pPr>
      <w:r>
        <w:rPr/>
        <w:t xml:space="preserve">Re: Redline to Master Supply Agreement (RFQ Ref: PEL/PROC/2026-RFQ-073)</w:t>
      </w:r>
    </w:p>
    <w:p w14:paraId="000000f8">
      <w:pPr>
        <w:rPr/>
      </w:pPr>
      <w:r>
        <w:rPr/>
        <w:t xml:space="preserve">CLAUSE 20.1 — ORDER OF PRECEDENCE [BLOCKER]</w:t>
      </w:r>
    </w:p>
    <w:p w14:paraId="000000f9">
      <w:pPr>
        <w:rPr/>
      </w:pPr>
      <w:r>
        <w:rPr/>
        <w:t xml:space="preserve">Issue: GTCs prevail over MSA. Pemberton can unilaterally amend GTCs post-signing.</w:t>
      </w:r>
    </w:p>
    <w:p w14:paraId="000000fa">
      <w:pPr>
        <w:rPr/>
      </w:pPr>
      <w:r>
        <w:rPr/>
        <w:t xml:space="preserve">Proposal: MSA prevails over GTCs. Lock agreed terms for Term. No post-contract GTCs amendment.</w:t>
      </w:r>
    </w:p>
    <w:p w14:paraId="000000fb">
      <w:pPr>
        <w:rPr/>
      </w:pPr>
      <w:r>
        <w:rPr/>
        <w:t xml:space="preserve">CLAUSE 10 — INDEMNIFICATION</w:t>
      </w:r>
    </w:p>
    <w:p w14:paraId="000000fc">
      <w:pPr>
        <w:rPr/>
      </w:pPr>
      <w:r>
        <w:rPr/>
        <w:t xml:space="preserve">Issue: Supplier indemnifies Buyer uncapped. No Buyer indemnity. Broad ""any negligent act"" trigger.</w:t>
      </w:r>
    </w:p>
    <w:p w14:paraId="000000fd">
      <w:pPr>
        <w:rPr/>
      </w:pPr>
      <w:r>
        <w:rPr/>
        <w:t xml:space="preserve">Proposal: Mutual capped indemnities. Cap at 12-month fees. Remove ""negligent act"" from Supplier triggers.</w:t>
      </w:r>
    </w:p>
    <w:p w14:paraId="000000fe">
      <w:pPr>
        <w:rPr/>
      </w:pPr>
      <w:r>
        <w:rPr/>
        <w:t xml:space="preserve">CLAUSES 11.1–11.2 — LIABILITY CAPS</w:t>
      </w:r>
    </w:p>
    <w:p w14:paraId="000000ff">
      <w:pPr>
        <w:rPr/>
      </w:pPr>
      <w:r>
        <w:rPr/>
        <w:t xml:space="preserve">Issue: Supplier: £18m max. Buyer: £100k max. 180:1 asymmetry.</w:t>
      </w:r>
    </w:p>
    <w:p w14:paraId="00000100">
      <w:pPr>
        <w:rPr/>
      </w:pPr>
      <w:r>
        <w:rPr/>
        <w:t xml:space="preserve">Proposal: 12-month mutual cap. Delete 11.2 or raise Buyer floor to £1m.</w:t>
      </w:r>
    </w:p>
    <w:p w14:paraId="00000101">
      <w:pPr>
        <w:rPr/>
      </w:pPr>
      <w:r>
        <w:rPr/>
        <w:t xml:space="preserve">CLAUSE 9.2 — IP VESTING</w:t>
      </w:r>
    </w:p>
    <w:p w14:paraId="00000102">
      <w:pPr>
        <w:rPr/>
      </w:pPr>
      <w:r>
        <w:rPr/>
        <w:t xml:space="preserve">Issue: All Foreground IP vests in Buyer automatically.</w:t>
      </w:r>
    </w:p>
    <w:p w14:paraId="00000103">
      <w:pPr>
        <w:rPr/>
      </w:pPr>
      <w:r>
        <w:rPr/>
        <w:t xml:space="preserve">Proposal: Joint ownership for jointly-created IP. Supplier retains sole ownership + licence for sole-created IP.</w:t>
      </w:r>
    </w:p>
    <w:p w14:paraId="00000104">
      <w:pPr>
        <w:rPr/>
      </w:pPr>
      <w:r>
        <w:rPr/>
        <w:t xml:space="preserve">CLAUSE 18.1 — TERMINATION</w:t>
      </w:r>
    </w:p>
    <w:p w14:paraId="00000105">
      <w:pPr>
        <w:rPr/>
      </w:pPr>
      <w:r>
        <w:rPr/>
        <w:t xml:space="preserve">Issue: Buyer-only termination right. No volume commitment.</w:t>
      </w:r>
    </w:p>
    <w:p w14:paraId="00000106">
      <w:pPr>
        <w:rPr/>
      </w:pPr>
      <w:r>
        <w:rPr/>
        <w:t xml:space="preserve">Proposal: Reciprocal termination right OR minimum volume commitment (~£40m over 3 years).</w:t>
      </w:r>
    </w:p>
    <w:p w14:paraId="00000107">
      <w:pPr>
        <w:rPr/>
      </w:pPr>
      <w:r>
        <w:rPr/>
        <w:t xml:space="preserve">SECONDARY (NEGOTIABLE)</w:t>
      </w:r>
    </w:p>
    <w:p w14:paraId="00000108">
      <w:pPr>
        <w:rPr/>
      </w:pPr>
      <w:r>
        <w:rPr/>
        <w:t xml:space="preserve">Cancellation fee: 15% -&gt; 25%.</w:t>
      </w:r>
    </w:p>
    <w:p w14:paraId="00000109">
      <w:pPr>
        <w:rPr/>
      </w:pPr>
      <w:r>
        <w:rPr/>
        <w:t xml:space="preserve">Price adjustment: ""absolute discretion"" -&gt; binding arbitration.</w:t>
      </w:r>
    </w:p>
    <w:p w14:paraId="0000010a">
      <w:pPr>
        <w:rPr/>
      </w:pPr>
      <w:r>
        <w:rPr/>
        <w:t xml:space="preserve">Audit: 5 days -&gt; 15 days notice + cost-share.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