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6"/>
        </w:rPr>
        <w:t>MUTUAL CONFIDENTIALITY AGREEMENT</w:t>
      </w:r>
    </w:p>
    <w:p>
      <w:pPr>
        <w:pStyle w:val="Heading2"/>
      </w:pPr>
      <w:r>
        <w:rPr>
          <w:sz w:val="24"/>
        </w:rPr>
        <w:t>Parties and Purpose</w:t>
      </w:r>
    </w:p>
    <w:p>
      <w:r>
        <w:rPr>
          <w:b/>
          <w:sz w:val="22"/>
        </w:rPr>
        <w:t>DATED: ___ 2026</w:t>
      </w:r>
    </w:p>
    <w:p>
      <w:r>
        <w:rPr>
          <w:b w:val="0"/>
          <w:sz w:val="22"/>
        </w:rPr>
      </w:r>
    </w:p>
    <w:p>
      <w:r>
        <w:rPr>
          <w:b/>
          <w:sz w:val="22"/>
        </w:rPr>
        <w:t>PARTIES</w:t>
      </w:r>
    </w:p>
    <w:p>
      <w:r>
        <w:rPr>
          <w:b w:val="0"/>
          <w:sz w:val="22"/>
        </w:rPr>
        <w:t>(1) Stanford Industrial Supply Co.</w:t>
      </w:r>
    </w:p>
    <w:p>
      <w:r>
        <w:rPr>
          <w:b w:val="0"/>
          <w:sz w:val="22"/>
        </w:rPr>
        <w:t>(2) ACME Tooling Solutions Limited (registered in England and Wales no. 04123876)</w:t>
      </w:r>
    </w:p>
    <w:p>
      <w:r>
        <w:rPr>
          <w:b w:val="0"/>
          <w:sz w:val="22"/>
        </w:rPr>
      </w:r>
    </w:p>
    <w:p>
      <w:r>
        <w:rPr>
          <w:b/>
          <w:sz w:val="22"/>
        </w:rPr>
        <w:t>BACKGROUND</w:t>
      </w:r>
    </w:p>
    <w:p>
      <w:r>
        <w:rPr>
          <w:b w:val="0"/>
          <w:sz w:val="22"/>
        </w:rPr>
        <w:t>The parties wish to discuss a potential business arrangement relating to ACME's potential supply of specialist cutting tools and abrasives to Stanford (the "Purpose"). In connection with those discussions each party may disclose Confidential Information to the other.</w:t>
      </w:r>
    </w:p>
    <w:p>
      <w:pPr>
        <w:pStyle w:val="Heading2"/>
      </w:pPr>
      <w:r>
        <w:rPr>
          <w:sz w:val="24"/>
        </w:rPr>
        <w:t>1. Definition of Confidential Information</w:t>
      </w:r>
    </w:p>
    <w:p>
      <w:r>
        <w:rPr>
          <w:b w:val="0"/>
          <w:sz w:val="22"/>
        </w:rPr>
        <w:t>"Confidential Information" means any information disclosed by one party ("Discloser") to the other ("Recipient") in connection with the Purpose that is marked confidential, identified as confidential at the time of disclosure, or that a reasonable person would understand to be confidential given its nature and the circumstances of disclosure.</w:t>
      </w:r>
    </w:p>
    <w:p>
      <w:pPr>
        <w:pStyle w:val="Heading2"/>
      </w:pPr>
      <w:r>
        <w:rPr>
          <w:sz w:val="24"/>
        </w:rPr>
        <w:t>2. Carve-outs</w:t>
      </w:r>
    </w:p>
    <w:p>
      <w:r>
        <w:rPr>
          <w:b w:val="0"/>
          <w:sz w:val="22"/>
        </w:rPr>
        <w:t>Confidential Information does not include information that (a) is or becomes publicly available without breach of this Agreement; (b) was already known to the Recipient without obligation of confidence; (c) is received from a third party without restriction; (d) is independently developed without reference to the Discloser's information; or (e) is required to be disclosed by law or court order, provided that the Recipient gives prompt notice and reasonable cooperation.</w:t>
      </w:r>
    </w:p>
    <w:p>
      <w:pPr>
        <w:pStyle w:val="Heading2"/>
      </w:pPr>
      <w:r>
        <w:rPr>
          <w:sz w:val="24"/>
        </w:rPr>
        <w:t>3. Obligations</w:t>
      </w:r>
    </w:p>
    <w:p>
      <w:r>
        <w:rPr>
          <w:b w:val="0"/>
          <w:sz w:val="22"/>
        </w:rPr>
        <w:t>The Recipient shall (a) use Confidential Information solely for the Purpose; (b) protect it with the same degree of care as it uses for its own confidential information, but not less than reasonable care; (c) limit access to those of its personnel and professional advisers who need to know for the Purpose, and who are bound by equivalent obligations of confidence.</w:t>
      </w:r>
    </w:p>
    <w:p>
      <w:pPr>
        <w:pStyle w:val="Heading2"/>
      </w:pPr>
      <w:r>
        <w:rPr>
          <w:sz w:val="24"/>
        </w:rPr>
        <w:t>4. Term</w:t>
      </w:r>
    </w:p>
    <w:p>
      <w:r>
        <w:rPr>
          <w:b w:val="0"/>
          <w:sz w:val="22"/>
        </w:rPr>
        <w:t>This Agreement commences on the date above and continues for two (2) years. Obligations of confidence in respect of Confidential Information disclosed during the term survive for a further three (3) years from the date of disclosure.</w:t>
      </w:r>
    </w:p>
    <w:p>
      <w:pPr>
        <w:pStyle w:val="Heading2"/>
      </w:pPr>
      <w:r>
        <w:rPr>
          <w:sz w:val="24"/>
        </w:rPr>
        <w:t>5. Residuals</w:t>
      </w:r>
    </w:p>
    <w:p>
      <w:r>
        <w:rPr>
          <w:b w:val="0"/>
          <w:sz w:val="22"/>
        </w:rPr>
        <w:t>Nothing in this Agreement restricts the Recipient's use of residual information retained in the unaided memory of its personnel after the term, provided no Confidential Information is intentionally retained.</w:t>
      </w:r>
    </w:p>
    <w:p>
      <w:pPr>
        <w:pStyle w:val="Heading2"/>
      </w:pPr>
      <w:r>
        <w:rPr>
          <w:sz w:val="24"/>
        </w:rPr>
        <w:t>6. No Licence</w:t>
      </w:r>
    </w:p>
    <w:p>
      <w:r>
        <w:rPr>
          <w:b w:val="0"/>
          <w:sz w:val="22"/>
        </w:rPr>
        <w:t>No licence or other right is granted under any intellectual property of the Discloser by virtue of this Agreement.</w:t>
      </w:r>
    </w:p>
    <w:p>
      <w:pPr>
        <w:pStyle w:val="Heading2"/>
      </w:pPr>
      <w:r>
        <w:rPr>
          <w:sz w:val="24"/>
        </w:rPr>
        <w:t>7. Return or Destruction</w:t>
      </w:r>
    </w:p>
    <w:p>
      <w:r>
        <w:rPr>
          <w:b w:val="0"/>
          <w:sz w:val="22"/>
        </w:rPr>
        <w:t>On request or termination, the Recipient shall return or destroy all Confidential Information in its possession (other than back-up copies retained in the ordinary course) and certify destruction on request.</w:t>
      </w:r>
    </w:p>
    <w:p>
      <w:pPr>
        <w:pStyle w:val="Heading2"/>
      </w:pPr>
      <w:r>
        <w:rPr>
          <w:sz w:val="24"/>
        </w:rPr>
        <w:t>Governing Law and Jurisdiction</w:t>
      </w:r>
    </w:p>
    <w:p>
      <w:r>
        <w:rPr>
          <w:b w:val="0"/>
          <w:sz w:val="22"/>
        </w:rPr>
        <w:t>This Agreement is governed by the laws of England and Wales and the parties submit to the exclusive jurisdiction of the courts of that jurisdiction.</w:t>
      </w:r>
    </w:p>
    <w:p>
      <w:pPr>
        <w:pStyle w:val="Heading2"/>
      </w:pPr>
      <w:r>
        <w:rPr>
          <w:sz w:val="24"/>
        </w:rPr>
        <w:t>Miscellaneous</w:t>
      </w:r>
    </w:p>
    <w:p>
      <w:r>
        <w:rPr>
          <w:b w:val="0"/>
          <w:sz w:val="22"/>
        </w:rPr>
        <w:t>No Party may assign without the other's prior written consent. This Agreement may be executed in counterparts including by electronic signature. The Agreement contains the entire understanding between the parties in relation to its subject matter and supersedes any prior arrangement or representation.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