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26"/>
        </w:rPr>
        <w:t>NON-DISCLOSURE AGREEMENT</w:t>
      </w:r>
    </w:p>
    <w:p>
      <w:r>
        <w:rPr>
          <w:b/>
          <w:sz w:val="22"/>
        </w:rPr>
        <w:t>DATED: ___ 2026</w:t>
      </w:r>
    </w:p>
    <w:p>
      <w:r>
        <w:rPr>
          <w:b w:val="0"/>
          <w:sz w:val="22"/>
        </w:rPr>
      </w:r>
    </w:p>
    <w:p>
      <w:r>
        <w:rPr>
          <w:b/>
          <w:sz w:val="22"/>
        </w:rPr>
        <w:t>PARTIES</w:t>
      </w:r>
    </w:p>
    <w:p>
      <w:r>
        <w:rPr>
          <w:b w:val="0"/>
          <w:sz w:val="22"/>
        </w:rPr>
        <w:t>(1) BetaCorp Logistics PLC ("Discloser")</w:t>
      </w:r>
    </w:p>
    <w:p>
      <w:r>
        <w:rPr>
          <w:b w:val="0"/>
          <w:sz w:val="22"/>
        </w:rPr>
        <w:t>(2) Stanford Industrial Supply Co. ("Recipient")</w:t>
      </w:r>
    </w:p>
    <w:p>
      <w:r>
        <w:rPr>
          <w:b w:val="0"/>
          <w:sz w:val="22"/>
        </w:rPr>
      </w:r>
    </w:p>
    <w:p>
      <w:r>
        <w:rPr>
          <w:b/>
          <w:sz w:val="22"/>
        </w:rPr>
        <w:t>BACKGROUND</w:t>
      </w:r>
    </w:p>
    <w:p>
      <w:r>
        <w:rPr>
          <w:b w:val="0"/>
          <w:sz w:val="22"/>
        </w:rPr>
        <w:t>The parties wish to discuss a potential business arrangement relating to BetaCorp's evaluation of Stanford as a potential supplier of MRO consumables to its UK distribution network (the "Purpose"). In connection with those discussions each party may disclose Confidential Information to the other.</w:t>
      </w:r>
    </w:p>
    <w:p>
      <w:pPr>
        <w:pStyle w:val="Heading2"/>
      </w:pPr>
      <w:r>
        <w:rPr>
          <w:sz w:val="24"/>
        </w:rPr>
        <w:t>1. Definitions</w:t>
      </w:r>
    </w:p>
    <w:p>
      <w:r>
        <w:rPr>
          <w:b w:val="0"/>
          <w:sz w:val="22"/>
        </w:rPr>
        <w:t>"Confidential Information" means all information disclosed by Discloser to Recipient, in any form, in connection with the Purpose, whether or not marked or identified as confidential.</w:t>
      </w:r>
    </w:p>
    <w:p>
      <w:pPr>
        <w:pStyle w:val="Heading2"/>
      </w:pPr>
      <w:r>
        <w:rPr>
          <w:sz w:val="24"/>
        </w:rPr>
        <w:t>2. Obligations</w:t>
      </w:r>
    </w:p>
    <w:p>
      <w:r>
        <w:rPr>
          <w:b w:val="0"/>
          <w:sz w:val="22"/>
        </w:rPr>
        <w:t>Recipient shall (a) use Confidential Information solely for the Purpose; (b) protect it with the same degree of care it uses for its own most sensitive information; (c) restrict access to those personnel and advisers who have a need to know.</w:t>
      </w:r>
    </w:p>
    <w:p>
      <w:pPr>
        <w:pStyle w:val="Heading2"/>
      </w:pPr>
      <w:r>
        <w:rPr>
          <w:sz w:val="24"/>
        </w:rPr>
        <w:t>3. Carve-outs</w:t>
      </w:r>
    </w:p>
    <w:p>
      <w:r>
        <w:rPr>
          <w:b w:val="0"/>
          <w:sz w:val="22"/>
        </w:rPr>
        <w:t>Confidential Information does not include information that is or becomes publicly available without breach, was already known to Recipient without obligation of confidence, is received from a third party without restriction, or is independently developed.</w:t>
      </w:r>
    </w:p>
    <w:p>
      <w:pPr>
        <w:pStyle w:val="Heading2"/>
      </w:pPr>
      <w:r>
        <w:rPr>
          <w:sz w:val="24"/>
        </w:rPr>
        <w:t>4. Term</w:t>
      </w:r>
    </w:p>
    <w:p>
      <w:r>
        <w:rPr>
          <w:b w:val="0"/>
          <w:sz w:val="22"/>
        </w:rPr>
        <w:t>This Agreement commences on the date above and continues for five (5) years. The Recipient's obligations of confidence survive for a further seven (7) years after termination or expiry.</w:t>
      </w:r>
    </w:p>
    <w:p>
      <w:pPr>
        <w:pStyle w:val="Heading2"/>
      </w:pPr>
      <w:r>
        <w:rPr>
          <w:sz w:val="24"/>
        </w:rPr>
        <w:t>5. No Disclosure of Discussions</w:t>
      </w:r>
    </w:p>
    <w:p>
      <w:r>
        <w:rPr>
          <w:b w:val="0"/>
          <w:sz w:val="22"/>
        </w:rPr>
        <w:t>Recipient shall not disclose to any third party the existence or substance of any discussions between the parties without Discloser's prior written consent.</w:t>
      </w:r>
    </w:p>
    <w:p>
      <w:pPr>
        <w:pStyle w:val="Heading2"/>
      </w:pPr>
      <w:r>
        <w:rPr>
          <w:sz w:val="24"/>
        </w:rPr>
        <w:t>6. Return</w:t>
      </w:r>
    </w:p>
    <w:p>
      <w:r>
        <w:rPr>
          <w:b w:val="0"/>
          <w:sz w:val="22"/>
        </w:rPr>
        <w:t>On request, Recipient shall return or destroy all Confidential Information at Discloser's election. The Recipient shall certify destruction within five (5) Business Days.</w:t>
      </w:r>
    </w:p>
    <w:p>
      <w:pPr>
        <w:pStyle w:val="Heading2"/>
      </w:pPr>
      <w:r>
        <w:rPr>
          <w:sz w:val="24"/>
        </w:rPr>
        <w:t>7. Remedies</w:t>
      </w:r>
    </w:p>
    <w:p>
      <w:r>
        <w:rPr>
          <w:b w:val="0"/>
          <w:sz w:val="22"/>
        </w:rPr>
        <w:t>Recipient acknowledges that damages may not be an adequate remedy for breach and that Discloser is entitled to seek injunctive relief.</w:t>
      </w:r>
    </w:p>
    <w:p>
      <w:pPr>
        <w:pStyle w:val="Heading2"/>
      </w:pPr>
      <w:r>
        <w:rPr>
          <w:sz w:val="24"/>
        </w:rPr>
        <w:t>Governing Law and Jurisdiction</w:t>
      </w:r>
    </w:p>
    <w:p>
      <w:r>
        <w:rPr>
          <w:b w:val="0"/>
          <w:sz w:val="22"/>
        </w:rPr>
        <w:t>This Agreement is governed by the laws of England and Wales and the parties submit to the exclusive jurisdiction of the courts of that jurisdiction.</w:t>
      </w:r>
    </w:p>
    <w:p>
      <w:pPr>
        <w:pStyle w:val="Heading2"/>
      </w:pPr>
      <w:r>
        <w:rPr>
          <w:sz w:val="24"/>
        </w:rPr>
        <w:t>Miscellaneous</w:t>
      </w:r>
    </w:p>
    <w:p>
      <w:r>
        <w:rPr>
          <w:b w:val="0"/>
          <w:sz w:val="22"/>
        </w:rPr>
        <w:t>No Party may assign without the other's prior written consent. This Agreement may be executed in counterparts including by electronic signature. The Agreement contains the entire understanding between the parties in relation to its subject matter and supersedes any prior arrangement or representation.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