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NON-DISCLOSURE AGREEMENT</w:t>
      </w:r>
    </w:p>
    <w:p>
      <w:r>
        <w:rPr>
          <w:b/>
          <w:sz w:val="22"/>
        </w:rPr>
        <w:t>DATED: ___ 2026</w:t>
      </w:r>
    </w:p>
    <w:p>
      <w:r>
        <w:rPr>
          <w:b w:val="0"/>
          <w:sz w:val="22"/>
        </w:rPr>
      </w:r>
    </w:p>
    <w:p>
      <w:r>
        <w:rPr>
          <w:b/>
          <w:sz w:val="22"/>
        </w:rPr>
        <w:t>PARTIES</w:t>
      </w:r>
    </w:p>
    <w:p>
      <w:r>
        <w:rPr>
          <w:b w:val="0"/>
          <w:sz w:val="22"/>
        </w:rPr>
        <w:t>(1) Stanford Industrial Supply Co.</w:t>
      </w:r>
    </w:p>
    <w:p>
      <w:r>
        <w:rPr>
          <w:b w:val="0"/>
          <w:sz w:val="22"/>
        </w:rPr>
        <w:t>(2) Cypress Systems, Inc. (a Delaware corporation)</w:t>
      </w:r>
    </w:p>
    <w:p>
      <w:r>
        <w:rPr>
          <w:b w:val="0"/>
          <w:sz w:val="22"/>
        </w:rPr>
      </w:r>
    </w:p>
    <w:p>
      <w:r>
        <w:rPr>
          <w:b/>
          <w:sz w:val="22"/>
        </w:rPr>
        <w:t>BACKGROUND</w:t>
      </w:r>
    </w:p>
    <w:p>
      <w:r>
        <w:rPr>
          <w:b w:val="0"/>
          <w:sz w:val="22"/>
        </w:rPr>
        <w:t>The parties wish to discuss a potential business arrangement relating to Cypress's potential procurement of inventory management SaaS by Stanford (the "Purpose"). In connection with those discussions each party may disclose Confidential Information to the other.</w:t>
      </w:r>
    </w:p>
    <w:p>
      <w:pPr>
        <w:pStyle w:val="Heading2"/>
      </w:pPr>
      <w:r>
        <w:rPr>
          <w:sz w:val="24"/>
        </w:rPr>
        <w:t>1. Confidential Information</w:t>
      </w:r>
    </w:p>
    <w:p>
      <w:r>
        <w:rPr>
          <w:b w:val="0"/>
          <w:sz w:val="22"/>
        </w:rPr>
        <w:t>"Confidential Information" means all non-public information of either party, including without limitation any business, financial, technical, customer, supplier, pricing, strategic, personnel, regulatory, or operational information, in any form, whether disclosed before or after the date of this Agreement.</w:t>
      </w:r>
    </w:p>
    <w:p>
      <w:pPr>
        <w:pStyle w:val="Heading2"/>
      </w:pPr>
      <w:r>
        <w:rPr>
          <w:sz w:val="24"/>
        </w:rPr>
        <w:t>2. Obligations</w:t>
      </w:r>
    </w:p>
    <w:p>
      <w:r>
        <w:rPr>
          <w:b w:val="0"/>
          <w:sz w:val="22"/>
        </w:rPr>
        <w:t>Each party shall use the other party's Confidential Information solely for the Purpose, shall not disclose it to any third party other than personnel and advisers who need to know for the Purpose, and shall protect it with at least the same degree of care as it uses for its own most sensitive information.</w:t>
      </w:r>
    </w:p>
    <w:p>
      <w:pPr>
        <w:pStyle w:val="Heading2"/>
      </w:pPr>
      <w:r>
        <w:rPr>
          <w:sz w:val="24"/>
        </w:rPr>
        <w:t>3. Term and Survival</w:t>
      </w:r>
    </w:p>
    <w:p>
      <w:r>
        <w:rPr>
          <w:b w:val="0"/>
          <w:sz w:val="22"/>
        </w:rPr>
        <w:t>This Agreement is **perpetual** and continues in force indefinitely. There is no fixed expiry. The obligations of confidence survive indefinitely after the cessation of any discussions between the parties.</w:t>
      </w:r>
    </w:p>
    <w:p>
      <w:pPr>
        <w:pStyle w:val="Heading2"/>
      </w:pPr>
      <w:r>
        <w:rPr>
          <w:sz w:val="24"/>
        </w:rPr>
        <w:t>4. Residuals</w:t>
      </w:r>
    </w:p>
    <w:p>
      <w:r>
        <w:rPr>
          <w:b w:val="0"/>
          <w:sz w:val="22"/>
        </w:rPr>
        <w:t>There is no carve-out for residual information retained in the unaided memory of personnel. All Confidential Information must be returned or destroyed on request.</w:t>
      </w:r>
    </w:p>
    <w:p>
      <w:pPr>
        <w:pStyle w:val="Heading2"/>
      </w:pPr>
      <w:r>
        <w:rPr>
          <w:sz w:val="24"/>
        </w:rPr>
        <w:t>5. No Reverse Engineering</w:t>
      </w:r>
    </w:p>
    <w:p>
      <w:r>
        <w:rPr>
          <w:b w:val="0"/>
          <w:sz w:val="22"/>
        </w:rPr>
        <w:t>Recipient shall not reverse engineer, decompile, or attempt to derive the source code or underlying algorithms of any software or process embodied in the Confidential Information.</w:t>
      </w:r>
    </w:p>
    <w:p>
      <w:pPr>
        <w:pStyle w:val="Heading2"/>
      </w:pPr>
      <w:r>
        <w:rPr>
          <w:sz w:val="24"/>
        </w:rPr>
        <w:t>6. Equitable Relief</w:t>
      </w:r>
    </w:p>
    <w:p>
      <w:r>
        <w:rPr>
          <w:b w:val="0"/>
          <w:sz w:val="22"/>
        </w:rPr>
        <w:t>Each party acknowledges that monetary damages are an inadequate remedy and the disclosing party shall be entitled to injunctive relief without bond or proof of irreparable harm.</w:t>
      </w:r>
    </w:p>
    <w:p>
      <w:pPr>
        <w:pStyle w:val="Heading2"/>
      </w:pPr>
      <w:r>
        <w:rPr>
          <w:sz w:val="24"/>
        </w:rPr>
        <w:t>Governing Law and Jurisdiction</w:t>
      </w:r>
    </w:p>
    <w:p>
      <w:r>
        <w:rPr>
          <w:b w:val="0"/>
          <w:sz w:val="22"/>
        </w:rPr>
        <w:t>This Agreement is governed by the laws of the State of California, USA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