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CONFIDENTIALITY AGREEMENT</w:t>
      </w:r>
    </w:p>
    <w:p>
      <w:r>
        <w:rPr>
          <w:b/>
          <w:sz w:val="22"/>
        </w:rPr>
        <w:t>DATED: ___ 2026</w:t>
      </w:r>
    </w:p>
    <w:p>
      <w:r>
        <w:rPr>
          <w:b w:val="0"/>
          <w:sz w:val="22"/>
        </w:rPr>
      </w:r>
    </w:p>
    <w:p>
      <w:r>
        <w:rPr>
          <w:b/>
          <w:sz w:val="22"/>
        </w:rPr>
        <w:t>PARTIES</w:t>
      </w:r>
    </w:p>
    <w:p>
      <w:r>
        <w:rPr>
          <w:b w:val="0"/>
          <w:sz w:val="22"/>
        </w:rPr>
        <w:t>(1) Delphi Components GmbH (registered in Germany, HRB 234567)</w:t>
      </w:r>
    </w:p>
    <w:p>
      <w:r>
        <w:rPr>
          <w:b w:val="0"/>
          <w:sz w:val="22"/>
        </w:rPr>
        <w:t>(2) Stanford Industrial Supply Co.</w:t>
      </w:r>
    </w:p>
    <w:p>
      <w:r>
        <w:rPr>
          <w:b w:val="0"/>
          <w:sz w:val="22"/>
        </w:rPr>
      </w:r>
    </w:p>
    <w:p>
      <w:r>
        <w:rPr>
          <w:b/>
          <w:sz w:val="22"/>
        </w:rPr>
        <w:t>BACKGROUND</w:t>
      </w:r>
    </w:p>
    <w:p>
      <w:r>
        <w:rPr>
          <w:b w:val="0"/>
          <w:sz w:val="22"/>
        </w:rPr>
        <w:t>The parties wish to discuss a potential business arrangement relating to potential supply by Delphi of electrical components into Stanford's EU distribution network (the "Purpose"). In connection with those discussions each party may disclose Confidential Information to the other.</w:t>
      </w:r>
    </w:p>
    <w:p>
      <w:pPr>
        <w:pStyle w:val="Heading2"/>
      </w:pPr>
      <w:r>
        <w:rPr>
          <w:sz w:val="24"/>
        </w:rPr>
        <w:t>1. Definition</w:t>
      </w:r>
    </w:p>
    <w:p>
      <w:r>
        <w:rPr>
          <w:b w:val="0"/>
          <w:sz w:val="22"/>
        </w:rPr>
        <w:t>"Confidential Information" means information that the disclosing party identifies in writing or orally at the time of disclosure as confidential.</w:t>
      </w:r>
    </w:p>
    <w:p>
      <w:pPr>
        <w:pStyle w:val="Heading2"/>
      </w:pPr>
      <w:r>
        <w:rPr>
          <w:sz w:val="24"/>
        </w:rPr>
        <w:t>2. Use Restriction</w:t>
      </w:r>
    </w:p>
    <w:p>
      <w:r>
        <w:rPr>
          <w:b w:val="0"/>
          <w:sz w:val="22"/>
        </w:rPr>
        <w:t>The receiving party shall use Confidential Information only for the purpose of evaluating the potential supply arrangement and shall not use it for any commercial purpose beyond that evaluation.</w:t>
      </w:r>
    </w:p>
    <w:p>
      <w:pPr>
        <w:pStyle w:val="Heading2"/>
      </w:pPr>
      <w:r>
        <w:rPr>
          <w:sz w:val="24"/>
        </w:rPr>
        <w:t>3. Carve-outs</w:t>
      </w:r>
    </w:p>
    <w:p>
      <w:r>
        <w:rPr>
          <w:b w:val="0"/>
          <w:sz w:val="22"/>
        </w:rPr>
        <w:t>The obligations in clause 2 do not apply to information that (a) is in the public domain through no fault of the receiving party; (b) was already known to the receiving party at the time of disclosure; (c) is received from a third party without restriction; or (d) is required to be disclosed by law, regulation, or order of a competent authority.</w:t>
      </w:r>
    </w:p>
    <w:p>
      <w:pPr>
        <w:pStyle w:val="Heading2"/>
      </w:pPr>
      <w:r>
        <w:rPr>
          <w:sz w:val="24"/>
        </w:rPr>
        <w:t>4. Term</w:t>
      </w:r>
    </w:p>
    <w:p>
      <w:r>
        <w:rPr>
          <w:b w:val="0"/>
          <w:sz w:val="22"/>
        </w:rPr>
        <w:t>This Agreement is valid for three (3) years from the date of execution. Obligations of confidence survive for a further two (2) years from the end of the term.</w:t>
      </w:r>
    </w:p>
    <w:p>
      <w:pPr>
        <w:pStyle w:val="Heading2"/>
      </w:pPr>
      <w:r>
        <w:rPr>
          <w:sz w:val="24"/>
        </w:rPr>
        <w:t>5. Return of Documents</w:t>
      </w:r>
    </w:p>
    <w:p>
      <w:r>
        <w:rPr>
          <w:b w:val="0"/>
          <w:sz w:val="22"/>
        </w:rPr>
        <w:t>On expiry or termination, the receiving party shall return or destroy all Confidential Information and certify destruction within ten (10) Business Days of request.</w:t>
      </w:r>
    </w:p>
    <w:p>
      <w:pPr>
        <w:pStyle w:val="Heading2"/>
      </w:pPr>
      <w:r>
        <w:rPr>
          <w:sz w:val="24"/>
        </w:rPr>
        <w:t>Governing Law and Jurisdiction</w:t>
      </w:r>
    </w:p>
    <w:p>
      <w:r>
        <w:rPr>
          <w:b w:val="0"/>
          <w:sz w:val="22"/>
        </w:rPr>
        <w:t>This Agreement is governed by German law and the parties submit to the exclusive jurisdiction of the courts of that jurisdiction.</w:t>
      </w:r>
    </w:p>
    <w:p>
      <w:pPr>
        <w:pStyle w:val="Heading2"/>
      </w:pPr>
      <w:r>
        <w:rPr>
          <w:sz w:val="24"/>
        </w:rPr>
        <w:t>Miscellaneous</w:t>
      </w:r>
    </w:p>
    <w:p>
      <w:r>
        <w:rPr>
          <w:b w:val="0"/>
          <w:sz w:val="22"/>
        </w:rPr>
        <w:t>No Party may assign without the other's prior written consent. This Agreement may be executed in counterparts including by electronic signature. The Agreement contains the entire understanding between the parties in relation to its subject matter and supersedes any prior arrangement or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