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MUTUAL CONFIDENTIALITY UNDERTAKING</w:t>
      </w:r>
    </w:p>
    <w:p>
      <w:r>
        <w:rPr>
          <w:b/>
          <w:sz w:val="22"/>
        </w:rPr>
        <w:t>DATED: ___ 2026</w:t>
      </w:r>
    </w:p>
    <w:p>
      <w:r>
        <w:rPr>
          <w:b w:val="0"/>
          <w:sz w:val="22"/>
        </w:rPr>
      </w:r>
    </w:p>
    <w:p>
      <w:r>
        <w:rPr>
          <w:b/>
          <w:sz w:val="22"/>
        </w:rPr>
        <w:t>PARTIES</w:t>
      </w:r>
    </w:p>
    <w:p>
      <w:r>
        <w:rPr>
          <w:b w:val="0"/>
          <w:sz w:val="22"/>
        </w:rPr>
        <w:t>(1) Stanford Industrial Supply Co.</w:t>
      </w:r>
    </w:p>
    <w:p>
      <w:r>
        <w:rPr>
          <w:b w:val="0"/>
          <w:sz w:val="22"/>
        </w:rPr>
        <w:t>(2) Folium Research Institute (a not-for-profit company limited by guarantee)</w:t>
      </w:r>
    </w:p>
    <w:p>
      <w:r>
        <w:rPr>
          <w:b w:val="0"/>
          <w:sz w:val="22"/>
        </w:rPr>
      </w:r>
    </w:p>
    <w:p>
      <w:r>
        <w:rPr>
          <w:b/>
          <w:sz w:val="22"/>
        </w:rPr>
        <w:t>BACKGROUND</w:t>
      </w:r>
    </w:p>
    <w:p>
      <w:r>
        <w:rPr>
          <w:b w:val="0"/>
          <w:sz w:val="22"/>
        </w:rPr>
        <w:t>The parties wish to discuss a potential business arrangement relating to potential collaboration on a sustainable-packaging research project funded by Innovate UK (the "Purpose"). In connection with those discussions each party may disclose Confidential Information to the other.</w:t>
      </w:r>
    </w:p>
    <w:p>
      <w:pPr>
        <w:pStyle w:val="Heading2"/>
      </w:pPr>
      <w:r>
        <w:rPr>
          <w:sz w:val="24"/>
        </w:rPr>
        <w:t>1. Definitions</w:t>
      </w:r>
    </w:p>
    <w:p>
      <w:r>
        <w:rPr>
          <w:b w:val="0"/>
          <w:sz w:val="22"/>
        </w:rPr>
        <w:t>"Confidential Information" means information disclosed by one party to the other that is identified as confidential at the time of disclosure, whether marked in writing or stated orally and confirmed in writing within 14 days.</w:t>
      </w:r>
    </w:p>
    <w:p>
      <w:pPr>
        <w:pStyle w:val="Heading2"/>
      </w:pPr>
      <w:r>
        <w:rPr>
          <w:sz w:val="24"/>
        </w:rPr>
        <w:t>2. Use and Disclosure</w:t>
      </w:r>
    </w:p>
    <w:p>
      <w:r>
        <w:rPr>
          <w:b w:val="0"/>
          <w:sz w:val="22"/>
        </w:rPr>
        <w:t>Each party shall (a) use the other's Confidential Information only for the Purpose, (b) limit access to its personnel and advisers with a need to know, and (c) protect it with reasonable care.</w:t>
      </w:r>
    </w:p>
    <w:p>
      <w:pPr>
        <w:pStyle w:val="Heading2"/>
      </w:pPr>
      <w:r>
        <w:rPr>
          <w:sz w:val="24"/>
        </w:rPr>
        <w:t>3. Exclusions</w:t>
      </w:r>
    </w:p>
    <w:p>
      <w:r>
        <w:rPr>
          <w:b w:val="0"/>
          <w:sz w:val="22"/>
        </w:rPr>
        <w:t>Confidential Information does not include information that (a) is or becomes publicly available without breach of this undertaking; (b) was known to the receiving party prior to disclosure; (c) is received from a third party without breach of any obligation of confidence; (d) is independently developed without reference to the disclosing party's information; or (e) must be disclosed under law or regulation (with prompt notice to the disclosing party).</w:t>
      </w:r>
    </w:p>
    <w:p>
      <w:pPr>
        <w:pStyle w:val="Heading2"/>
      </w:pPr>
      <w:r>
        <w:rPr>
          <w:sz w:val="24"/>
        </w:rPr>
        <w:t>4. Term</w:t>
      </w:r>
    </w:p>
    <w:p>
      <w:r>
        <w:rPr>
          <w:b w:val="0"/>
          <w:sz w:val="22"/>
        </w:rPr>
        <w:t>This undertaking shall remain in force for two (2) years from the date of last signature. Obligations of confidence survive for a further three (3) years from the date of disclosure.</w:t>
      </w:r>
    </w:p>
    <w:p>
      <w:pPr>
        <w:pStyle w:val="Heading2"/>
      </w:pPr>
      <w:r>
        <w:rPr>
          <w:sz w:val="24"/>
        </w:rPr>
        <w:t>5. Publication</w:t>
      </w:r>
    </w:p>
    <w:p>
      <w:r>
        <w:rPr>
          <w:b w:val="0"/>
          <w:sz w:val="22"/>
        </w:rPr>
        <w:t>Where the Purpose involves academic or industry publication, each party shall give the other thirty (30) days to review and comment on any proposed publication that may contain the other's Confidential Information.</w:t>
      </w:r>
    </w:p>
    <w:p>
      <w:pPr>
        <w:pStyle w:val="Heading2"/>
      </w:pPr>
      <w:r>
        <w:rPr>
          <w:sz w:val="24"/>
        </w:rPr>
        <w:t>6. Return or Destruction</w:t>
      </w:r>
    </w:p>
    <w:p>
      <w:r>
        <w:rPr>
          <w:b w:val="0"/>
          <w:sz w:val="22"/>
        </w:rPr>
        <w:t>On request or on completion of the Purpose, each party shall return or destroy the other's Confidential Information except for one copy that may be retained for legal or regulatory record-keeping.</w:t>
      </w:r>
    </w:p>
    <w:p>
      <w:pPr>
        <w:pStyle w:val="Heading2"/>
      </w:pPr>
      <w:r>
        <w:rPr>
          <w:sz w:val="24"/>
        </w:rPr>
        <w:t>Governing Law and Jurisdiction</w:t>
      </w:r>
    </w:p>
    <w:p>
      <w:r>
        <w:rPr>
          <w:b w:val="0"/>
          <w:sz w:val="22"/>
        </w:rPr>
        <w:t>This Agreement is governed by the laws of England and Wales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