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NON-DISCLOSURE AGREEMENT</w:t>
      </w:r>
    </w:p>
    <w:p>
      <w:r>
        <w:rPr>
          <w:b/>
          <w:sz w:val="22"/>
        </w:rPr>
        <w:t>DATED: ___ 2026</w:t>
      </w:r>
    </w:p>
    <w:p>
      <w:r>
        <w:rPr>
          <w:b w:val="0"/>
          <w:sz w:val="22"/>
        </w:rPr>
      </w:r>
    </w:p>
    <w:p>
      <w:r>
        <w:rPr>
          <w:b/>
          <w:sz w:val="22"/>
        </w:rPr>
        <w:t>PARTIES</w:t>
      </w:r>
    </w:p>
    <w:p>
      <w:r>
        <w:rPr>
          <w:b w:val="0"/>
          <w:sz w:val="22"/>
        </w:rPr>
        <w:t>(1) GreenLine ERP Systems LLC (a Texas limited liability company)</w:t>
      </w:r>
    </w:p>
    <w:p>
      <w:r>
        <w:rPr>
          <w:b w:val="0"/>
          <w:sz w:val="22"/>
        </w:rPr>
        <w:t>(2) Stanford Industrial Supply Co.</w:t>
      </w:r>
    </w:p>
    <w:p>
      <w:r>
        <w:rPr>
          <w:b w:val="0"/>
          <w:sz w:val="22"/>
        </w:rPr>
      </w:r>
    </w:p>
    <w:p>
      <w:r>
        <w:rPr>
          <w:b/>
          <w:sz w:val="22"/>
        </w:rPr>
        <w:t>BACKGROUND</w:t>
      </w:r>
    </w:p>
    <w:p>
      <w:r>
        <w:rPr>
          <w:b w:val="0"/>
          <w:sz w:val="22"/>
        </w:rPr>
        <w:t>The parties wish to discuss a potential business arrangement relating to GreenLine's potential supply of ERP integration services into Stanford's operations (the "Purpose"). In connection with those discussions each party may disclose Confidential Information to the other.</w:t>
      </w:r>
    </w:p>
    <w:p>
      <w:pPr>
        <w:pStyle w:val="Heading2"/>
      </w:pPr>
      <w:r>
        <w:rPr>
          <w:sz w:val="24"/>
        </w:rPr>
        <w:t>1. Confidential Information</w:t>
      </w:r>
    </w:p>
    <w:p>
      <w:r>
        <w:rPr>
          <w:b w:val="0"/>
          <w:sz w:val="22"/>
        </w:rPr>
        <w:t>"Confidential Information" means any and all non-public information disclosed by GreenLine to Stanford in any form, including without limitation source code, algorithms, system architectures, customer lists, pricing methodologies, financial data, supplier identities, and any derivatives or compilations of any of the foregoing, regardless of whether marked confidential.</w:t>
      </w:r>
    </w:p>
    <w:p>
      <w:pPr>
        <w:pStyle w:val="Heading2"/>
      </w:pPr>
      <w:r>
        <w:rPr>
          <w:sz w:val="24"/>
        </w:rPr>
        <w:t>2. Use</w:t>
      </w:r>
    </w:p>
    <w:p>
      <w:r>
        <w:rPr>
          <w:b w:val="0"/>
          <w:sz w:val="22"/>
        </w:rPr>
        <w:t>Stanford shall use Confidential Information solely for the evaluation of GreenLine's proposed services. Stanford shall not use Confidential Information for the development of any competing product or service, whether internally or with any third party.</w:t>
      </w:r>
    </w:p>
    <w:p>
      <w:pPr>
        <w:pStyle w:val="Heading2"/>
      </w:pPr>
      <w:r>
        <w:rPr>
          <w:sz w:val="24"/>
        </w:rPr>
        <w:t>3. Survival</w:t>
      </w:r>
    </w:p>
    <w:p>
      <w:r>
        <w:rPr>
          <w:b w:val="0"/>
          <w:sz w:val="22"/>
        </w:rPr>
        <w:t>Stanford's obligations under this Agreement shall survive in perpetuity. There is no termination date and the obligations do not lapse.</w:t>
      </w:r>
    </w:p>
    <w:p>
      <w:pPr>
        <w:pStyle w:val="Heading2"/>
      </w:pPr>
      <w:r>
        <w:rPr>
          <w:sz w:val="24"/>
        </w:rPr>
        <w:t>4. No Residuals</w:t>
      </w:r>
    </w:p>
    <w:p>
      <w:r>
        <w:rPr>
          <w:b w:val="0"/>
          <w:sz w:val="22"/>
        </w:rPr>
        <w:t>There is no carve-out for residual information retained in the unaided memory of Stanford's personnel. Any information acquired through this Agreement remains subject to the obligations of confidence indefinitely whether or not retained in tangible form.</w:t>
      </w:r>
    </w:p>
    <w:p>
      <w:pPr>
        <w:pStyle w:val="Heading2"/>
      </w:pPr>
      <w:r>
        <w:rPr>
          <w:sz w:val="24"/>
        </w:rPr>
        <w:t>5. Non-Compete</w:t>
      </w:r>
    </w:p>
    <w:p>
      <w:r>
        <w:rPr>
          <w:b w:val="0"/>
          <w:sz w:val="22"/>
        </w:rPr>
        <w:t>For a period of two (2) years following any termination of discussions, Stanford shall not engage with any third-party supplier of ERP services that competes with GreenLine in respect of any line of business in which GreenLine has disclosed Confidential Information.</w:t>
      </w:r>
    </w:p>
    <w:p>
      <w:pPr>
        <w:pStyle w:val="Heading2"/>
      </w:pPr>
      <w:r>
        <w:rPr>
          <w:sz w:val="24"/>
        </w:rPr>
        <w:t>6. Liquidated Damages</w:t>
      </w:r>
    </w:p>
    <w:p>
      <w:r>
        <w:rPr>
          <w:b w:val="0"/>
          <w:sz w:val="22"/>
        </w:rPr>
        <w:t>The parties agree that any breach of this Agreement by Stanford shall give rise to liquidated damages of US$500,000 per incident, which the parties agree is a reasonable estimate of the loss the disclosing party would suffer.</w:t>
      </w:r>
    </w:p>
    <w:p>
      <w:pPr>
        <w:pStyle w:val="Heading2"/>
      </w:pPr>
      <w:r>
        <w:rPr>
          <w:sz w:val="24"/>
        </w:rPr>
        <w:t>7. Equitable Relief</w:t>
      </w:r>
    </w:p>
    <w:p>
      <w:r>
        <w:rPr>
          <w:b w:val="0"/>
          <w:sz w:val="22"/>
        </w:rPr>
        <w:t>GreenLine shall be entitled to injunctive relief in any court of competent jurisdiction without bond or proof of irreparable harm.</w:t>
      </w:r>
    </w:p>
    <w:p>
      <w:pPr>
        <w:pStyle w:val="Heading2"/>
      </w:pPr>
      <w:r>
        <w:rPr>
          <w:sz w:val="24"/>
        </w:rPr>
        <w:t>Governing Law and Jurisdiction</w:t>
      </w:r>
    </w:p>
    <w:p>
      <w:r>
        <w:rPr>
          <w:b w:val="0"/>
          <w:sz w:val="22"/>
        </w:rPr>
        <w:t>This Agreement is governed by the laws of the State of Texas, USA, without regard to its conflict-of-laws principles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