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26"/>
        </w:rPr>
        <w:t>MUTUAL NON-DISCLOSURE AGREEMENT</w:t>
      </w:r>
    </w:p>
    <w:p>
      <w:r>
        <w:rPr>
          <w:b/>
          <w:sz w:val="22"/>
        </w:rPr>
        <w:t>DATED: ___ 2026</w:t>
      </w:r>
    </w:p>
    <w:p>
      <w:r>
        <w:rPr>
          <w:b w:val="0"/>
          <w:sz w:val="22"/>
        </w:rPr>
      </w:r>
    </w:p>
    <w:p>
      <w:r>
        <w:rPr>
          <w:b/>
          <w:sz w:val="22"/>
        </w:rPr>
        <w:t>PARTIES</w:t>
      </w:r>
    </w:p>
    <w:p>
      <w:r>
        <w:rPr>
          <w:b w:val="0"/>
          <w:sz w:val="22"/>
        </w:rPr>
        <w:t>(1) Stanford Industrial Supply Co.</w:t>
      </w:r>
    </w:p>
    <w:p>
      <w:r>
        <w:rPr>
          <w:b w:val="0"/>
          <w:sz w:val="22"/>
        </w:rPr>
        <w:t>(2) Harborwave Cloud Services BV (registered in the Netherlands, KvK 12345678)</w:t>
      </w:r>
    </w:p>
    <w:p>
      <w:r>
        <w:rPr>
          <w:b w:val="0"/>
          <w:sz w:val="22"/>
        </w:rPr>
      </w:r>
    </w:p>
    <w:p>
      <w:r>
        <w:rPr>
          <w:b/>
          <w:sz w:val="22"/>
        </w:rPr>
        <w:t>BACKGROUND</w:t>
      </w:r>
    </w:p>
    <w:p>
      <w:r>
        <w:rPr>
          <w:b w:val="0"/>
          <w:sz w:val="22"/>
        </w:rPr>
        <w:t>The parties wish to discuss a potential business arrangement relating to evaluation of cloud-hosted document management services for Stanford's contract repository (the "Purpose"). In connection with those discussions each party may disclose Confidential Information to the other.</w:t>
      </w:r>
    </w:p>
    <w:p>
      <w:pPr>
        <w:pStyle w:val="Heading2"/>
      </w:pPr>
      <w:r>
        <w:rPr>
          <w:sz w:val="24"/>
        </w:rPr>
        <w:t>1. Confidential Information</w:t>
      </w:r>
    </w:p>
    <w:p>
      <w:r>
        <w:rPr>
          <w:b w:val="0"/>
          <w:sz w:val="22"/>
        </w:rPr>
        <w:t>"Confidential Information" means information disclosed by one party to the other in connection with the Purpose that is identified as confidential at the time of disclosure or that a reasonable person would understand to be confidential given its nature.</w:t>
      </w:r>
    </w:p>
    <w:p>
      <w:pPr>
        <w:pStyle w:val="Heading2"/>
      </w:pPr>
      <w:r>
        <w:rPr>
          <w:sz w:val="24"/>
        </w:rPr>
        <w:t>2. Standard of Care</w:t>
      </w:r>
    </w:p>
    <w:p>
      <w:r>
        <w:rPr>
          <w:b w:val="0"/>
          <w:sz w:val="22"/>
        </w:rPr>
        <w:t>Each party shall protect the other's Confidential Information with at least the same degree of care it uses to protect its own confidential information, and in any event with no less than reasonable care.</w:t>
      </w:r>
    </w:p>
    <w:p>
      <w:pPr>
        <w:pStyle w:val="Heading2"/>
      </w:pPr>
      <w:r>
        <w:rPr>
          <w:sz w:val="24"/>
        </w:rPr>
        <w:t>3. Permitted Disclosures</w:t>
      </w:r>
    </w:p>
    <w:p>
      <w:r>
        <w:rPr>
          <w:b w:val="0"/>
          <w:sz w:val="22"/>
        </w:rPr>
        <w:t>A party may disclose Confidential Information to (a) its personnel, advisers, contractors, and affiliates with a need to know for the Purpose; (b) regulators or courts where required by law; (c) any third party with the other party's prior written consent.</w:t>
      </w:r>
    </w:p>
    <w:p>
      <w:pPr>
        <w:pStyle w:val="Heading2"/>
      </w:pPr>
      <w:r>
        <w:rPr>
          <w:sz w:val="24"/>
        </w:rPr>
        <w:t>4. Exclusions</w:t>
      </w:r>
    </w:p>
    <w:p>
      <w:r>
        <w:rPr>
          <w:b w:val="0"/>
          <w:sz w:val="22"/>
        </w:rPr>
        <w:t>Confidential Information does not include information that (a) is or becomes publicly available without breach; (b) was known to the receiving party prior to disclosure; (c) is independently developed; (d) is received from a third party free of obligation; (e) is required to be disclosed by law (with prompt notice to the disclosing party).</w:t>
      </w:r>
    </w:p>
    <w:p>
      <w:pPr>
        <w:pStyle w:val="Heading2"/>
      </w:pPr>
      <w:r>
        <w:rPr>
          <w:sz w:val="24"/>
        </w:rPr>
        <w:t>5. Term</w:t>
      </w:r>
    </w:p>
    <w:p>
      <w:r>
        <w:rPr>
          <w:b w:val="0"/>
          <w:sz w:val="22"/>
        </w:rPr>
        <w:t>This Agreement commences on signature and continues for three (3) years. Obligations of confidence survive for a further three (3) years from disclosure.</w:t>
      </w:r>
    </w:p>
    <w:p>
      <w:pPr>
        <w:pStyle w:val="Heading2"/>
      </w:pPr>
      <w:r>
        <w:rPr>
          <w:sz w:val="24"/>
        </w:rPr>
        <w:t>6. Personal Data</w:t>
      </w:r>
    </w:p>
    <w:p>
      <w:r>
        <w:rPr>
          <w:b w:val="0"/>
          <w:sz w:val="22"/>
        </w:rPr>
        <w:t>Where the disclosure includes personal data, the parties shall comply with the UK GDPR and the EU GDPR (as applicable) and shall enter into a separate data-processing agreement before any such disclosure.</w:t>
      </w:r>
    </w:p>
    <w:p>
      <w:pPr>
        <w:pStyle w:val="Heading2"/>
      </w:pPr>
      <w:r>
        <w:rPr>
          <w:sz w:val="24"/>
        </w:rPr>
        <w:t>7. Return</w:t>
      </w:r>
    </w:p>
    <w:p>
      <w:r>
        <w:rPr>
          <w:b w:val="0"/>
          <w:sz w:val="22"/>
        </w:rPr>
        <w:t>On request, each party shall return or destroy the other's Confidential Information, except for back-up copies retained in the ordinary course or copies retained to demonstrate compliance with this Agreement.</w:t>
      </w:r>
    </w:p>
    <w:p>
      <w:pPr>
        <w:pStyle w:val="Heading2"/>
      </w:pPr>
      <w:r>
        <w:rPr>
          <w:sz w:val="24"/>
        </w:rPr>
        <w:t>Governing Law and Jurisdiction</w:t>
      </w:r>
    </w:p>
    <w:p>
      <w:r>
        <w:rPr>
          <w:b w:val="0"/>
          <w:sz w:val="22"/>
        </w:rPr>
        <w:t>This Agreement is governed by the laws of England and Wales and the parties submit to the exclusive jurisdiction of the courts of that jurisdiction.</w:t>
      </w:r>
    </w:p>
    <w:p>
      <w:pPr>
        <w:pStyle w:val="Heading2"/>
      </w:pPr>
      <w:r>
        <w:rPr>
          <w:sz w:val="24"/>
        </w:rPr>
        <w:t>Miscellaneous</w:t>
      </w:r>
    </w:p>
    <w:p>
      <w:r>
        <w:rPr>
          <w:b w:val="0"/>
          <w:sz w:val="22"/>
        </w:rPr>
        <w:t>No Party may assign without the other's prior written consent. This Agreement may be executed in counterparts including by electronic signature. The Agreement contains the entire understanding between the parties in relation to its subject matter and supersedes any prior arrangement or representation.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