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6"/>
        </w:rPr>
        <w:t>MUTUAL NON-DISCLOSURE AGREEMENT</w:t>
      </w:r>
    </w:p>
    <w:p>
      <w:r>
        <w:rPr>
          <w:b/>
          <w:sz w:val="22"/>
        </w:rPr>
        <w:t>DATED: ___ 2026</w:t>
      </w:r>
    </w:p>
    <w:p>
      <w:r>
        <w:rPr>
          <w:b w:val="0"/>
          <w:sz w:val="22"/>
        </w:rPr>
      </w:r>
    </w:p>
    <w:p>
      <w:r>
        <w:rPr>
          <w:b/>
          <w:sz w:val="22"/>
        </w:rPr>
        <w:t>PARTIES</w:t>
      </w:r>
    </w:p>
    <w:p>
      <w:r>
        <w:rPr>
          <w:b w:val="0"/>
          <w:sz w:val="22"/>
        </w:rPr>
        <w:t>(1) Stanford Industrial Supply Co.</w:t>
      </w:r>
    </w:p>
    <w:p>
      <w:r>
        <w:rPr>
          <w:b w:val="0"/>
          <w:sz w:val="22"/>
        </w:rPr>
        <w:t>(2) Iris Consulting Group Limited</w:t>
      </w:r>
    </w:p>
    <w:p>
      <w:r>
        <w:rPr>
          <w:b w:val="0"/>
          <w:sz w:val="22"/>
        </w:rPr>
      </w:r>
    </w:p>
    <w:p>
      <w:r>
        <w:rPr>
          <w:b/>
          <w:sz w:val="22"/>
        </w:rPr>
        <w:t>BACKGROUND</w:t>
      </w:r>
    </w:p>
    <w:p>
      <w:r>
        <w:rPr>
          <w:b w:val="0"/>
          <w:sz w:val="22"/>
        </w:rPr>
        <w:t>The parties wish to discuss a potential business arrangement relating to Iris's potential engagement to advise Stanford on supply-chain ESG performance (the "Purpose"). In connection with those discussions each party may disclose Confidential Information to the other.</w:t>
      </w:r>
    </w:p>
    <w:p>
      <w:pPr>
        <w:pStyle w:val="Heading2"/>
      </w:pPr>
      <w:r>
        <w:rPr>
          <w:sz w:val="24"/>
        </w:rPr>
        <w:t>1. Definition</w:t>
      </w:r>
    </w:p>
    <w:p>
      <w:r>
        <w:rPr>
          <w:b w:val="0"/>
          <w:sz w:val="22"/>
        </w:rPr>
        <w:t>"Confidential Information" means any information of a confidential nature disclosed by one party to the other in connection with the Purpose, whether or not marked.</w:t>
      </w:r>
    </w:p>
    <w:p>
      <w:pPr>
        <w:pStyle w:val="Heading2"/>
      </w:pPr>
      <w:r>
        <w:rPr>
          <w:sz w:val="24"/>
        </w:rPr>
        <w:t>2. Obligations</w:t>
      </w:r>
    </w:p>
    <w:p>
      <w:r>
        <w:rPr>
          <w:b w:val="0"/>
          <w:sz w:val="22"/>
        </w:rPr>
        <w:t>Each party shall use the other's Confidential Information only for the Purpose, limit access to its personnel and professional advisers with a need to know, and protect it with reasonable care.</w:t>
      </w:r>
    </w:p>
    <w:p>
      <w:pPr>
        <w:pStyle w:val="Heading2"/>
      </w:pPr>
      <w:r>
        <w:rPr>
          <w:sz w:val="24"/>
        </w:rPr>
        <w:t>3. Exclusions</w:t>
      </w:r>
    </w:p>
    <w:p>
      <w:r>
        <w:rPr>
          <w:b w:val="0"/>
          <w:sz w:val="22"/>
        </w:rPr>
        <w:t>Standard carve-outs apply (publicly known, prior knowledge, third-party receipt, independent development, compelled disclosure).</w:t>
      </w:r>
    </w:p>
    <w:p>
      <w:pPr>
        <w:pStyle w:val="Heading2"/>
      </w:pPr>
      <w:r>
        <w:rPr>
          <w:sz w:val="24"/>
        </w:rPr>
        <w:t>4. Term and Survival</w:t>
      </w:r>
    </w:p>
    <w:p>
      <w:r>
        <w:rPr>
          <w:b w:val="0"/>
          <w:sz w:val="22"/>
        </w:rPr>
        <w:t>This Agreement is in force for three (3) years. The receiving party's obligations of confidence shall survive **for a further ten (10) years** from the date of disclosure of any specific item of Confidential Information.</w:t>
      </w:r>
    </w:p>
    <w:p>
      <w:pPr>
        <w:pStyle w:val="Heading2"/>
      </w:pPr>
      <w:r>
        <w:rPr>
          <w:sz w:val="24"/>
        </w:rPr>
        <w:t>5. Non-Solicitation</w:t>
      </w:r>
    </w:p>
    <w:p>
      <w:r>
        <w:rPr>
          <w:b w:val="0"/>
          <w:sz w:val="22"/>
        </w:rPr>
        <w:t>Each party agrees not to solicit any employee of the other party with whom it has had contact during the Purpose, for a period of twelve (12) months from termination.</w:t>
      </w:r>
    </w:p>
    <w:p>
      <w:pPr>
        <w:pStyle w:val="Heading2"/>
      </w:pPr>
      <w:r>
        <w:rPr>
          <w:sz w:val="24"/>
        </w:rPr>
        <w:t>6. Return</w:t>
      </w:r>
    </w:p>
    <w:p>
      <w:r>
        <w:rPr>
          <w:b w:val="0"/>
          <w:sz w:val="22"/>
        </w:rPr>
        <w:t>On request, each party shall return or destroy the other's Confidential Information.</w:t>
      </w:r>
    </w:p>
    <w:p>
      <w:pPr>
        <w:pStyle w:val="Heading2"/>
      </w:pPr>
      <w:r>
        <w:rPr>
          <w:sz w:val="24"/>
        </w:rPr>
        <w:t>Governing Law and Jurisdiction</w:t>
      </w:r>
    </w:p>
    <w:p>
      <w:r>
        <w:rPr>
          <w:b w:val="0"/>
          <w:sz w:val="22"/>
        </w:rPr>
        <w:t>This Agreement is governed by the laws of England and Wales and the parties submit to the exclusive jurisdiction of the courts of that jurisdiction.</w:t>
      </w:r>
    </w:p>
    <w:p>
      <w:pPr>
        <w:pStyle w:val="Heading2"/>
      </w:pPr>
      <w:r>
        <w:rPr>
          <w:sz w:val="24"/>
        </w:rPr>
        <w:t>Miscellaneous</w:t>
      </w:r>
    </w:p>
    <w:p>
      <w:r>
        <w:rPr>
          <w:b w:val="0"/>
          <w:sz w:val="22"/>
        </w:rPr>
        <w:t>No Party may assign without the other's prior written consent. This Agreement may be executed in counterparts including by electronic signature. The Agreement contains the entire understanding between the parties in relation to its subject matter and supersedes any prior arrangement or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