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CONFIDENTIALITY AGREEMENT</w:t>
      </w:r>
    </w:p>
    <w:p>
      <w:r>
        <w:rPr>
          <w:b/>
          <w:sz w:val="22"/>
        </w:rPr>
        <w:t>DATED: ___ 2026</w:t>
      </w:r>
    </w:p>
    <w:p>
      <w:r>
        <w:rPr>
          <w:b w:val="0"/>
          <w:sz w:val="22"/>
        </w:rPr>
      </w:r>
    </w:p>
    <w:p>
      <w:r>
        <w:rPr>
          <w:b/>
          <w:sz w:val="22"/>
        </w:rPr>
        <w:t>PARTIES</w:t>
      </w:r>
    </w:p>
    <w:p>
      <w:r>
        <w:rPr>
          <w:b w:val="0"/>
          <w:sz w:val="22"/>
        </w:rPr>
        <w:t>(1) Jadestone Manufacturing Ltd (registered in England and Wales no. 09876543)</w:t>
      </w:r>
    </w:p>
    <w:p>
      <w:r>
        <w:rPr>
          <w:b w:val="0"/>
          <w:sz w:val="22"/>
        </w:rPr>
        <w:t>(2) Stanford Industrial Supply Co.</w:t>
      </w:r>
    </w:p>
    <w:p>
      <w:r>
        <w:rPr>
          <w:b w:val="0"/>
          <w:sz w:val="22"/>
        </w:rPr>
      </w:r>
    </w:p>
    <w:p>
      <w:r>
        <w:rPr>
          <w:b/>
          <w:sz w:val="22"/>
        </w:rPr>
        <w:t>BACKGROUND</w:t>
      </w:r>
    </w:p>
    <w:p>
      <w:r>
        <w:rPr>
          <w:b w:val="0"/>
          <w:sz w:val="22"/>
        </w:rPr>
        <w:t>The parties wish to discuss a potential business arrangement relating to Jadestone's evaluation of Stanford as a long-term supplier of precision fasteners (the "Purpose"). In connection with those discussions each party may disclose Confidential Information to the other.</w:t>
      </w:r>
    </w:p>
    <w:p>
      <w:pPr>
        <w:pStyle w:val="Heading2"/>
      </w:pPr>
      <w:r>
        <w:rPr>
          <w:sz w:val="24"/>
        </w:rPr>
        <w:t>1. Definitions</w:t>
      </w:r>
    </w:p>
    <w:p>
      <w:r>
        <w:rPr>
          <w:b w:val="0"/>
          <w:sz w:val="22"/>
        </w:rPr>
        <w:t>"Confidential Information" means information disclosed by Jadestone to Stanford in connection with the Purpose that is marked confidential or identified as such at the time of disclosure, or that a reasonable person would understand to be confidential given its nature.</w:t>
      </w:r>
    </w:p>
    <w:p>
      <w:pPr>
        <w:pStyle w:val="Heading2"/>
      </w:pPr>
      <w:r>
        <w:rPr>
          <w:sz w:val="24"/>
        </w:rPr>
        <w:t>2. Use</w:t>
      </w:r>
    </w:p>
    <w:p>
      <w:r>
        <w:rPr>
          <w:b w:val="0"/>
          <w:sz w:val="22"/>
        </w:rPr>
        <w:t>Stanford shall use the Confidential Information solely for the Purpose and shall not disclose it other than to personnel and advisers with a need to know who are bound by equivalent obligations of confidence.</w:t>
      </w:r>
    </w:p>
    <w:p>
      <w:pPr>
        <w:pStyle w:val="Heading2"/>
      </w:pPr>
      <w:r>
        <w:rPr>
          <w:sz w:val="24"/>
        </w:rPr>
        <w:t>3. Carve-outs</w:t>
      </w:r>
    </w:p>
    <w:p>
      <w:r>
        <w:rPr>
          <w:b w:val="0"/>
          <w:sz w:val="22"/>
        </w:rPr>
        <w:t>Standard carve-outs apply (publicly known, prior knowledge, third-party receipt, independent development, compelled disclosure with prompt notice).</w:t>
      </w:r>
    </w:p>
    <w:p>
      <w:pPr>
        <w:pStyle w:val="Heading2"/>
      </w:pPr>
      <w:r>
        <w:rPr>
          <w:sz w:val="24"/>
        </w:rPr>
        <w:t>4. Term</w:t>
      </w:r>
    </w:p>
    <w:p>
      <w:r>
        <w:rPr>
          <w:b w:val="0"/>
          <w:sz w:val="22"/>
        </w:rPr>
        <w:t>This Agreement commences on signature and continues for two (2) years. Obligations of confidence survive for a further three (3) years after termination.</w:t>
      </w:r>
    </w:p>
    <w:p>
      <w:pPr>
        <w:pStyle w:val="Heading2"/>
      </w:pPr>
      <w:r>
        <w:rPr>
          <w:sz w:val="24"/>
        </w:rPr>
        <w:t>5. Residuals</w:t>
      </w:r>
    </w:p>
    <w:p>
      <w:r>
        <w:rPr>
          <w:b w:val="0"/>
          <w:sz w:val="22"/>
        </w:rPr>
        <w:t>Stanford shall not be in breach of this Agreement by virtue of any use of residual information retained in the unaided memory of its personnel.</w:t>
      </w:r>
    </w:p>
    <w:p>
      <w:pPr>
        <w:pStyle w:val="Heading2"/>
      </w:pPr>
      <w:r>
        <w:rPr>
          <w:sz w:val="24"/>
        </w:rPr>
        <w:t>6. Equitable Relief</w:t>
      </w:r>
    </w:p>
    <w:p>
      <w:r>
        <w:rPr>
          <w:b w:val="0"/>
          <w:sz w:val="22"/>
        </w:rPr>
        <w:t>Each party acknowledges that damages alone may not be sufficient remedy for breach.</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