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jc w:val="center"/>
      </w:pPr>
      <w:r>
        <w:t xml:space="preserve">VENDOR DUE DILIGENCE QUESTIONNAIRE</w:t>
      </w:r>
    </w:p>
    <w:p>
      <w:pPr>
        <w:spacing w:after="120"/>
        <w:jc w:val="center"/>
      </w:pPr>
      <w:r>
        <w:rPr>
          <w:i/>
          <w:iCs/>
          <w:sz w:val="26"/>
          <w:szCs w:val="26"/>
        </w:rPr>
        <w:t xml:space="preserve">Supplier Onboarding Assessment</w:t>
      </w:r>
    </w:p>
    <w:p>
      <w:pPr>
        <w:pBdr>
          <w:top w:val="single" w:color="2E5C8A" w:sz="6" w:space="1"/>
          <w:bottom w:val="single" w:color="2E5C8A" w:sz="6" w:space="1"/>
        </w:pBdr>
        <w:spacing w:after="360"/>
        <w:jc w:val="center"/>
      </w:pPr>
      <w:r>
        <w:rPr>
          <w:sz w:val="4"/>
          <w:szCs w:val="4"/>
        </w:rPr>
        <w:t xml:space="preserve"> </w:t>
      </w:r>
    </w:p>
    <w:p>
      <w:pPr>
        <w:spacing w:after="240"/>
        <w:ind w:left="360" w:right="360"/>
      </w:pPr>
      <w:r>
        <w:rPr>
          <w:b/>
          <w:bCs/>
        </w:rPr>
        <w:t xml:space="preserve">Instructions: </w:t>
      </w:r>
      <w:r>
        <w:t xml:space="preserve">Please complete all sections of this questionnaire. Your responses help us understand your organisation's capabilities, compliance standards, and risk profile. Where questions request supporting documentation, please indicate where we can obtain this information.</w:t>
      </w:r>
    </w:p>
    <w:p>
      <w:pPr>
        <w:pStyle w:val="Heading2"/>
      </w:pPr>
      <w:r>
        <w:t xml:space="preserve">SECTION 1: COMPANY BACKGROUND</w:t>
      </w:r>
    </w:p>
    <w:p>
      <w:pPr>
        <w:spacing w:before="240" w:after="120"/>
        <w:ind w:left="360"/>
      </w:pPr>
      <w:r>
        <w:rPr>
          <w:b/>
          <w:bCs/>
          <w:color w:val="2E5C8A"/>
        </w:rPr>
        <w:t xml:space="preserve">1.1</w:t>
      </w:r>
      <w:r>
        <w:t xml:space="preserve">  </w:t>
      </w:r>
      <w:r>
        <w:rPr>
          <w:b/>
          <w:bCs/>
        </w:rPr>
        <w:t xml:space="preserve">Legal Entity Name and Registration</w:t>
      </w:r>
    </w:p>
    <w:p>
      <w:pPr>
        <w:pBdr>
          <w:bottom w:val="single" w:color="CCCCCC" w:sz="6" w:space="1"/>
        </w:pBdr>
        <w:spacing w:before="80" w:after="80"/>
        <w:ind w:left="720"/>
      </w:pPr>
      <w:r>
        <w:t>TechVendor Solutions Limited. Company Number: 12345678. Jurisdiction: England and Wales.</w:t>
      </w:r>
    </w:p>
    <w:p>
      <w:pPr>
        <w:spacing w:after="120"/>
        <w:ind w:left="720"/>
      </w:pPr>
      <w:r>
        <w:rPr>
          <w:i/>
          <w:iCs/>
          <w:color w:val="666666"/>
          <w:sz w:val="20"/>
          <w:szCs w:val="20"/>
        </w:rPr>
        <w:t xml:space="preserve">Include company number and jurisdiction of incorporation</w:t>
      </w:r>
    </w:p>
    <w:p>
      <w:pPr>
        <w:spacing w:before="240" w:after="120"/>
        <w:ind w:left="360"/>
      </w:pPr>
      <w:r>
        <w:rPr>
          <w:b/>
          <w:bCs/>
          <w:color w:val="2E5C8A"/>
        </w:rPr>
        <w:t xml:space="preserve">1.2</w:t>
      </w:r>
      <w:r>
        <w:t xml:space="preserve">  </w:t>
      </w:r>
      <w:r>
        <w:rPr>
          <w:b/>
          <w:bCs/>
        </w:rPr>
        <w:t xml:space="preserve">Registered Office Address</w:t>
      </w:r>
    </w:p>
    <w:p>
      <w:pPr>
        <w:pBdr>
          <w:bottom w:val="single" w:color="CCCCCC" w:sz="6" w:space="1"/>
        </w:pBdr>
        <w:spacing w:before="80" w:after="80"/>
        <w:ind w:left="720"/>
      </w:pPr>
      <w:r>
        <w:t>25 Technology Park, Reading, Berkshire RG6 1PT, United Kingdom</w:t>
      </w:r>
    </w:p>
    <w:p>
      <w:pPr>
        <w:pBdr>
          <w:bottom w:val="single" w:color="CCCCCC" w:sz="6" w:space="1"/>
        </w:pBdr>
        <w:spacing w:before="80" w:after="80"/>
        <w:ind w:left="720"/>
      </w:pPr>
      <w:r>
        <w:rPr>
          <w:sz w:val="24"/>
          <w:szCs w:val="24"/>
        </w:rPr>
        <w:t xml:space="preserve"> </w:t>
      </w:r>
    </w:p>
    <w:p>
      <w:pPr>
        <w:spacing w:before="240" w:after="120"/>
        <w:ind w:left="360"/>
      </w:pPr>
      <w:r>
        <w:rPr>
          <w:b/>
          <w:bCs/>
          <w:color w:val="2E5C8A"/>
        </w:rPr>
        <w:t xml:space="preserve">1.3</w:t>
      </w:r>
      <w:r>
        <w:t xml:space="preserve">  </w:t>
      </w:r>
      <w:r>
        <w:rPr>
          <w:b/>
          <w:bCs/>
        </w:rPr>
        <w:t xml:space="preserve">Principal Place of Business (if different from registered office)</w:t>
      </w:r>
    </w:p>
    <w:p>
      <w:pPr>
        <w:pBdr>
          <w:bottom w:val="single" w:color="CCCCCC" w:sz="6" w:space="1"/>
        </w:pBdr>
        <w:spacing w:before="80" w:after="80"/>
        <w:ind w:left="720"/>
      </w:pPr>
      <w:r>
        <w:t>Same as registered office address.</w:t>
      </w:r>
    </w:p>
    <w:p>
      <w:pPr>
        <w:pBdr>
          <w:bottom w:val="single" w:color="CCCCCC" w:sz="6" w:space="1"/>
        </w:pBdr>
        <w:spacing w:before="80" w:after="80"/>
        <w:ind w:left="720"/>
      </w:pPr>
      <w:r>
        <w:rPr>
          <w:sz w:val="24"/>
          <w:szCs w:val="24"/>
        </w:rPr>
        <w:t xml:space="preserve"> </w:t>
      </w:r>
    </w:p>
    <w:p>
      <w:pPr>
        <w:spacing w:before="240" w:after="120"/>
        <w:ind w:left="360"/>
      </w:pPr>
      <w:r>
        <w:rPr>
          <w:b/>
          <w:bCs/>
          <w:color w:val="2E5C8A"/>
        </w:rPr>
        <w:t xml:space="preserve">1.4</w:t>
      </w:r>
      <w:r>
        <w:t xml:space="preserve">  </w:t>
      </w:r>
      <w:r>
        <w:rPr>
          <w:b/>
          <w:bCs/>
        </w:rPr>
        <w:t xml:space="preserve">Ultimate Beneficial Ownership</w:t>
      </w:r>
    </w:p>
    <w:p>
      <w:pPr>
        <w:pBdr>
          <w:bottom w:val="single" w:color="CCCCCC" w:sz="6" w:space="1"/>
        </w:pBdr>
        <w:spacing w:before="80" w:after="80"/>
        <w:ind w:left="720"/>
      </w:pPr>
      <w:r>
        <w:t>Sarah Johnson (45% shareholding), British national, DOB: 15/06/1982. Michael Chen (35% shareholding), British national, DOB: 22/11/1980. No other individual or entity holds 25% or more of the shares or voting rights.</w:t>
      </w:r>
    </w:p>
    <w:p>
      <w:pPr>
        <w:pBdr>
          <w:bottom w:val="single" w:color="CCCCCC" w:sz="6" w:space="1"/>
        </w:pBdr>
        <w:spacing w:before="80" w:after="80"/>
        <w:ind w:left="720"/>
      </w:pPr>
      <w:r>
        <w:rPr>
          <w:sz w:val="24"/>
          <w:szCs w:val="24"/>
        </w:rPr>
        <w:t xml:space="preserve"> </w:t>
      </w:r>
    </w:p>
    <w:p>
      <w:pPr>
        <w:pBdr>
          <w:bottom w:val="single" w:color="CCCCCC" w:sz="6" w:space="1"/>
        </w:pBdr>
        <w:spacing w:before="80" w:after="80"/>
        <w:ind w:left="720"/>
      </w:pPr>
      <w:r>
        <w:rPr>
          <w:sz w:val="24"/>
          <w:szCs w:val="24"/>
        </w:rPr>
        <w:t xml:space="preserve"> </w:t>
      </w:r>
    </w:p>
    <w:p>
      <w:pPr>
        <w:spacing w:after="120"/>
        <w:ind w:left="720"/>
      </w:pPr>
      <w:r>
        <w:rPr>
          <w:i/>
          <w:iCs/>
          <w:color w:val="666666"/>
          <w:sz w:val="20"/>
          <w:szCs w:val="20"/>
        </w:rPr>
        <w:t xml:space="preserve">List all individuals or entities holding 25% or more ownership</w:t>
      </w:r>
    </w:p>
    <w:p>
      <w:pPr>
        <w:spacing w:before="240" w:after="120"/>
        <w:ind w:left="360"/>
      </w:pPr>
      <w:r>
        <w:rPr>
          <w:b/>
          <w:bCs/>
          <w:color w:val="2E5C8A"/>
        </w:rPr>
        <w:t xml:space="preserve">1.5</w:t>
      </w:r>
      <w:r>
        <w:t xml:space="preserve">  </w:t>
      </w:r>
      <w:r>
        <w:rPr>
          <w:b/>
          <w:bCs/>
        </w:rPr>
        <w:t xml:space="preserve">Primary Business Activities and Services</w:t>
      </w:r>
    </w:p>
    <w:p>
      <w:pPr>
        <w:pBdr>
          <w:bottom w:val="single" w:color="CCCCCC" w:sz="6" w:space="1"/>
        </w:pBdr>
        <w:spacing w:before="80" w:after="80"/>
        <w:ind w:left="720"/>
      </w:pPr>
      <w:r>
        <w:t>We are a software-as-a-service provider specialising in contract lifecycle management and legal operations technology. Our platform helps corporate legal departments and law firms manage contracts, automate workflows, and improve legal service delivery. We serve primarily mid-market and enterprise clients across the UK and EMEA region.</w:t>
      </w:r>
    </w:p>
    <w:p>
      <w:pPr>
        <w:pBdr>
          <w:bottom w:val="single" w:color="CCCCCC" w:sz="6" w:space="1"/>
        </w:pBdr>
        <w:spacing w:before="80" w:after="80"/>
        <w:ind w:left="720"/>
      </w:pPr>
      <w:r>
        <w:rPr>
          <w:sz w:val="24"/>
          <w:szCs w:val="24"/>
        </w:rPr>
        <w:t xml:space="preserve"> </w:t>
      </w:r>
    </w:p>
    <w:p>
      <w:pPr>
        <w:spacing w:before="240" w:after="120"/>
        <w:ind w:left="360"/>
      </w:pPr>
      <w:r>
        <w:rPr>
          <w:b/>
          <w:bCs/>
          <w:color w:val="2E5C8A"/>
        </w:rPr>
        <w:t xml:space="preserve">1.6</w:t>
      </w:r>
      <w:r>
        <w:t xml:space="preserve">  </w:t>
      </w:r>
      <w:r>
        <w:rPr>
          <w:b/>
          <w:bCs/>
        </w:rPr>
        <w:t xml:space="preserve">Years in Operation</w:t>
      </w:r>
    </w:p>
    <w:p>
      <w:pPr>
        <w:pBdr>
          <w:bottom w:val="single" w:color="CCCCCC" w:sz="6" w:space="1"/>
        </w:pBdr>
        <w:spacing w:before="80" w:after="80"/>
        <w:ind w:left="720"/>
      </w:pPr>
      <w:r>
        <w:t>7 years (incorporated March 2018, trading commenced June 2018)</w:t>
      </w:r>
    </w:p>
    <w:p>
      <w:pPr>
        <w:spacing w:before="240" w:after="120"/>
        <w:ind w:left="360"/>
      </w:pPr>
      <w:r>
        <w:rPr>
          <w:b/>
          <w:bCs/>
          <w:color w:val="2E5C8A"/>
        </w:rPr>
        <w:t xml:space="preserve">1.7</w:t>
      </w:r>
      <w:r>
        <w:t xml:space="preserve">  </w:t>
      </w:r>
      <w:r>
        <w:rPr>
          <w:b/>
          <w:bCs/>
        </w:rPr>
        <w:t xml:space="preserve">Number of Employees (by location if applicable)</w:t>
      </w:r>
    </w:p>
    <w:p>
      <w:pPr>
        <w:pBdr>
          <w:bottom w:val="single" w:color="CCCCCC" w:sz="6" w:space="1"/>
        </w:pBdr>
        <w:spacing w:before="80" w:after="80"/>
        <w:ind w:left="720"/>
      </w:pPr>
      <w:r>
        <w:t>Total: 85 full-time employees. United Kingdom (Reading HQ): 65 employees. Germany (Berlin office): 12 employees. Poland (Warsaw development centre): 8 employees.</w:t>
      </w:r>
    </w:p>
    <w:p>
      <w:pPr>
        <w:pBdr>
          <w:bottom w:val="single" w:color="CCCCCC" w:sz="6" w:space="1"/>
        </w:pBdr>
        <w:spacing w:before="80" w:after="80"/>
        <w:ind w:left="720"/>
      </w:pPr>
      <w:r>
        <w:rPr>
          <w:sz w:val="24"/>
          <w:szCs w:val="24"/>
        </w:rPr>
        <w:t xml:space="preserve"> </w:t>
      </w:r>
    </w:p>
    <w:p>
      <w:pPr>
        <w:spacing w:before="240" w:after="120"/>
        <w:ind w:left="360"/>
      </w:pPr>
      <w:r>
        <w:rPr>
          <w:b/>
          <w:bCs/>
          <w:color w:val="2E5C8A"/>
        </w:rPr>
        <w:t xml:space="preserve">1.8</w:t>
      </w:r>
      <w:r>
        <w:t xml:space="preserve">  </w:t>
      </w:r>
      <w:r>
        <w:rPr>
          <w:b/>
          <w:bCs/>
        </w:rPr>
        <w:t xml:space="preserve">Annual Revenue for Previous Three Financial Years</w:t>
      </w:r>
    </w:p>
    <w:p>
      <w:pPr>
        <w:pBdr>
          <w:bottom w:val="single" w:color="CCCCCC" w:sz="6" w:space="1"/>
        </w:pBdr>
        <w:spacing w:before="80" w:after="80"/>
        <w:ind w:left="720"/>
      </w:pPr>
      <w:r>
        <w:t>Financial Year 2024: £8.2 million. Financial Year 2023: £6.1 million. Financial Year 2022: £4.3 million. Year-on-year growth reflects strong customer retention and new client acquisition.</w:t>
      </w:r>
    </w:p>
    <w:p>
      <w:pPr>
        <w:pBdr>
          <w:bottom w:val="single" w:color="CCCCCC" w:sz="6" w:space="1"/>
        </w:pBdr>
        <w:spacing w:before="80" w:after="80"/>
        <w:ind w:left="720"/>
      </w:pPr>
      <w:r>
        <w:rPr>
          <w:sz w:val="24"/>
          <w:szCs w:val="24"/>
        </w:rPr>
        <w:t xml:space="preserve"> </w:t>
      </w:r>
    </w:p>
    <w:p>
      <w:pPr>
        <w:pStyle w:val="Heading2"/>
      </w:pPr>
      <w:r>
        <w:t xml:space="preserve">SECTION 2: DATA PROTECTION &amp; PRIVACY COMPLIANCE</w:t>
      </w:r>
    </w:p>
    <w:p>
      <w:pPr>
        <w:spacing w:before="240" w:after="120"/>
        <w:ind w:left="360"/>
      </w:pPr>
      <w:r>
        <w:rPr>
          <w:b/>
          <w:bCs/>
          <w:color w:val="2E5C8A"/>
        </w:rPr>
        <w:t xml:space="preserve">2.1</w:t>
      </w:r>
      <w:r>
        <w:t xml:space="preserve">  </w:t>
      </w:r>
      <w:r>
        <w:rPr>
          <w:b/>
          <w:bCs/>
        </w:rPr>
        <w:t xml:space="preserve">Data Protection Registration Details</w:t>
      </w:r>
    </w:p>
    <w:p>
      <w:pPr>
        <w:pBdr>
          <w:bottom w:val="single" w:color="CCCCCC" w:sz="6" w:space="1"/>
        </w:pBdr>
        <w:spacing w:before="80" w:after="80"/>
        <w:ind w:left="720"/>
      </w:pPr>
      <w:r>
        <w:t>Yes, we are registered with the UK Information Commissioner's Office. ICO Registration Number: ZA123456. Registration renewed annually, currently valid until March 2026.</w:t>
      </w:r>
    </w:p>
    <w:p>
      <w:pPr>
        <w:pBdr>
          <w:bottom w:val="single" w:color="CCCCCC" w:sz="6" w:space="1"/>
        </w:pBdr>
        <w:spacing w:before="80" w:after="80"/>
        <w:ind w:left="720"/>
      </w:pPr>
      <w:r>
        <w:rPr>
          <w:sz w:val="24"/>
          <w:szCs w:val="24"/>
        </w:rPr>
        <w:t xml:space="preserve"> </w:t>
      </w:r>
    </w:p>
    <w:p>
      <w:pPr>
        <w:spacing w:after="120"/>
        <w:ind w:left="720"/>
      </w:pPr>
      <w:r>
        <w:rPr>
          <w:i/>
          <w:iCs/>
          <w:color w:val="666666"/>
          <w:sz w:val="20"/>
          <w:szCs w:val="20"/>
        </w:rPr>
        <w:t xml:space="preserve">Provide registration number with relevant supervisory authority (e.g., ICO, CNIL)</w:t>
      </w:r>
    </w:p>
    <w:p>
      <w:pPr>
        <w:spacing w:before="240" w:after="120"/>
        <w:ind w:left="360"/>
      </w:pPr>
      <w:r>
        <w:rPr>
          <w:b/>
          <w:bCs/>
          <w:color w:val="2E5C8A"/>
        </w:rPr>
        <w:t xml:space="preserve">2.2</w:t>
      </w:r>
      <w:r>
        <w:t xml:space="preserve">  </w:t>
      </w:r>
      <w:r>
        <w:rPr>
          <w:b/>
          <w:bCs/>
        </w:rPr>
        <w:t xml:space="preserve">Data Protection Officer or Privacy Lead</w:t>
      </w:r>
    </w:p>
    <w:p>
      <w:pPr>
        <w:pBdr>
          <w:bottom w:val="single" w:color="CCCCCC" w:sz="6" w:space="1"/>
        </w:pBdr>
        <w:spacing w:before="80" w:after="80"/>
        <w:ind w:left="720"/>
      </w:pPr>
      <w:r>
        <w:t>Data Protection Officer: Emma Roberts. Email: dpo@techvendor.com. Direct Line: +44 (0)118 123 4567. Mobile: +44 (0)7700 900123. Emma is a certified privacy professional (CIPP/E) and reports directly to the CEO.</w:t>
      </w:r>
    </w:p>
    <w:p>
      <w:pPr>
        <w:pBdr>
          <w:bottom w:val="single" w:color="CCCCCC" w:sz="6" w:space="1"/>
        </w:pBdr>
        <w:spacing w:before="80" w:after="80"/>
        <w:ind w:left="720"/>
      </w:pPr>
      <w:r>
        <w:rPr>
          <w:sz w:val="24"/>
          <w:szCs w:val="24"/>
        </w:rPr>
        <w:t xml:space="preserve"> </w:t>
      </w:r>
    </w:p>
    <w:p>
      <w:pPr>
        <w:spacing w:after="120"/>
        <w:ind w:left="720"/>
      </w:pPr>
      <w:r>
        <w:rPr>
          <w:i/>
          <w:iCs/>
          <w:color w:val="666666"/>
          <w:sz w:val="20"/>
          <w:szCs w:val="20"/>
        </w:rPr>
        <w:t xml:space="preserve">Name, title, email address, and telephone number</w:t>
      </w:r>
    </w:p>
    <w:p>
      <w:pPr>
        <w:spacing w:before="240" w:after="120"/>
        <w:ind w:left="360"/>
      </w:pPr>
      <w:r>
        <w:rPr>
          <w:b/>
          <w:bCs/>
          <w:color w:val="2E5C8A"/>
        </w:rPr>
        <w:t xml:space="preserve">2.3</w:t>
      </w:r>
      <w:r>
        <w:t xml:space="preserve">  </w:t>
      </w:r>
      <w:r>
        <w:rPr>
          <w:b/>
          <w:bCs/>
        </w:rPr>
        <w:t xml:space="preserve">Categories of Personal Data to be Processed</w:t>
      </w:r>
    </w:p>
    <w:p>
      <w:pPr>
        <w:pBdr>
          <w:bottom w:val="single" w:color="CCCCCC" w:sz="6" w:space="1"/>
        </w:pBdr>
        <w:spacing w:before="80" w:after="80"/>
        <w:ind w:left="720"/>
      </w:pPr>
      <w:r>
        <w:t>Under our standard service agreement, we process: identity data (names, usernames, titles), contact data (email addresses, telephone numbers), account data (job titles, department, organisation affiliations), technical data (IP addresses, login data, browser type, device information), usage data (platform interaction, feature usage, access logs), and document content (contracts and documents uploaded by users). We do not process special category data unless contained in documents uploaded by you, in which case you remain the data controller.</w:t>
      </w:r>
    </w:p>
    <w:p>
      <w:pPr>
        <w:pBdr>
          <w:bottom w:val="single" w:color="CCCCCC" w:sz="6" w:space="1"/>
        </w:pBdr>
        <w:spacing w:before="80" w:after="80"/>
        <w:ind w:left="720"/>
      </w:pPr>
      <w:r>
        <w:rPr>
          <w:sz w:val="24"/>
          <w:szCs w:val="24"/>
        </w:rPr>
        <w:t xml:space="preserve"> </w:t>
      </w:r>
    </w:p>
    <w:p>
      <w:pPr>
        <w:pBdr>
          <w:bottom w:val="single" w:color="CCCCCC" w:sz="6" w:space="1"/>
        </w:pBdr>
        <w:spacing w:before="80" w:after="80"/>
        <w:ind w:left="720"/>
      </w:pPr>
      <w:r>
        <w:rPr>
          <w:sz w:val="24"/>
          <w:szCs w:val="24"/>
        </w:rPr>
        <w:t xml:space="preserve"> </w:t>
      </w:r>
    </w:p>
    <w:p>
      <w:pPr>
        <w:spacing w:after="120"/>
        <w:ind w:left="720"/>
      </w:pPr>
      <w:r>
        <w:rPr>
          <w:i/>
          <w:iCs/>
          <w:color w:val="666666"/>
          <w:sz w:val="20"/>
          <w:szCs w:val="20"/>
        </w:rPr>
        <w:t xml:space="preserve">Specify types of data and whether any special category data will be processed</w:t>
      </w:r>
    </w:p>
    <w:p>
      <w:pPr>
        <w:spacing w:before="240" w:after="120"/>
        <w:ind w:left="360"/>
      </w:pPr>
      <w:r>
        <w:rPr>
          <w:b/>
          <w:bCs/>
          <w:color w:val="2E5C8A"/>
        </w:rPr>
        <w:t xml:space="preserve">2.4</w:t>
      </w:r>
      <w:r>
        <w:t xml:space="preserve">  </w:t>
      </w:r>
      <w:r>
        <w:rPr>
          <w:b/>
          <w:bCs/>
        </w:rPr>
        <w:t xml:space="preserve">Data Storage and Processing Locations</w:t>
      </w:r>
    </w:p>
    <w:p>
      <w:pPr>
        <w:pBdr>
          <w:bottom w:val="single" w:color="CCCCCC" w:sz="6" w:space="1"/>
        </w:pBdr>
        <w:spacing w:before="80" w:after="80"/>
        <w:ind w:left="720"/>
      </w:pPr>
      <w:r>
        <w:t>All personal data is stored and processed exclusively within the UK and EEA. Primary Infrastructure: AWS eu-west-2 (London, UK) for production environment; AWS eu-west-1 (Dublin, Ireland) for backup and disaster recovery. No data is transferred outside the UK/EEA as part of our standard service delivery.</w:t>
      </w:r>
    </w:p>
    <w:p>
      <w:pPr>
        <w:pBdr>
          <w:bottom w:val="single" w:color="CCCCCC" w:sz="6" w:space="1"/>
        </w:pBdr>
        <w:spacing w:before="80" w:after="80"/>
        <w:ind w:left="720"/>
      </w:pPr>
      <w:r>
        <w:rPr>
          <w:sz w:val="24"/>
          <w:szCs w:val="24"/>
        </w:rPr>
        <w:t xml:space="preserve"> </w:t>
      </w:r>
    </w:p>
    <w:p>
      <w:pPr>
        <w:pBdr>
          <w:bottom w:val="single" w:color="CCCCCC" w:sz="6" w:space="1"/>
        </w:pBdr>
        <w:spacing w:before="80" w:after="80"/>
        <w:ind w:left="720"/>
      </w:pPr>
      <w:r>
        <w:rPr>
          <w:sz w:val="24"/>
          <w:szCs w:val="24"/>
        </w:rPr>
        <w:t xml:space="preserve"> </w:t>
      </w:r>
    </w:p>
    <w:p>
      <w:pPr>
        <w:spacing w:after="120"/>
        <w:ind w:left="720"/>
      </w:pPr>
      <w:r>
        <w:rPr>
          <w:i/>
          <w:iCs/>
          <w:color w:val="666666"/>
          <w:sz w:val="20"/>
          <w:szCs w:val="20"/>
        </w:rPr>
        <w:t xml:space="preserve">List all countries and specific data centre locations</w:t>
      </w:r>
    </w:p>
    <w:p>
      <w:pPr>
        <w:spacing w:before="240" w:after="120"/>
        <w:ind w:left="360"/>
      </w:pPr>
      <w:r>
        <w:rPr>
          <w:b/>
          <w:bCs/>
          <w:color w:val="2E5C8A"/>
        </w:rPr>
        <w:t xml:space="preserve">2.5</w:t>
      </w:r>
      <w:r>
        <w:t xml:space="preserve">  </w:t>
      </w:r>
      <w:r>
        <w:rPr>
          <w:b/>
          <w:bCs/>
        </w:rPr>
        <w:t xml:space="preserve">International Data Transfers</w:t>
      </w:r>
    </w:p>
    <w:p>
      <w:pPr>
        <w:pBdr>
          <w:bottom w:val="single" w:color="CCCCCC" w:sz="6" w:space="1"/>
        </w:pBdr>
        <w:spacing w:before="80" w:after="80"/>
        <w:ind w:left="720"/>
      </w:pPr>
      <w:r>
        <w:t>No. We do not transfer personal data outside the UK or EEA under our standard service. If you configure optional integrations with third-party services operating outside the UK/EEA, those transfers are controlled by you as data controller. We can provide guidance on implementing appropriate safeguards such as Standard Contractual Clauses if required.</w:t>
      </w:r>
    </w:p>
    <w:p>
      <w:pPr>
        <w:pBdr>
          <w:bottom w:val="single" w:color="CCCCCC" w:sz="6" w:space="1"/>
        </w:pBdr>
        <w:spacing w:before="80" w:after="80"/>
        <w:ind w:left="720"/>
      </w:pPr>
      <w:r>
        <w:rPr>
          <w:sz w:val="24"/>
          <w:szCs w:val="24"/>
        </w:rPr>
        <w:t xml:space="preserve"> </w:t>
      </w:r>
    </w:p>
    <w:p>
      <w:pPr>
        <w:pBdr>
          <w:bottom w:val="single" w:color="CCCCCC" w:sz="6" w:space="1"/>
        </w:pBdr>
        <w:spacing w:before="80" w:after="80"/>
        <w:ind w:left="720"/>
      </w:pPr>
      <w:r>
        <w:rPr>
          <w:sz w:val="24"/>
          <w:szCs w:val="24"/>
        </w:rPr>
        <w:t xml:space="preserve"> </w:t>
      </w:r>
    </w:p>
    <w:p>
      <w:pPr>
        <w:spacing w:after="120"/>
        <w:ind w:left="720"/>
      </w:pPr>
      <w:r>
        <w:rPr>
          <w:i/>
          <w:iCs/>
          <w:color w:val="666666"/>
          <w:sz w:val="20"/>
          <w:szCs w:val="20"/>
        </w:rPr>
        <w:t xml:space="preserve">Confirm whether data leaves UK/EEA and describe transfer mechanisms (SCCs, adequacy decisions, etc.)</w:t>
      </w:r>
    </w:p>
    <w:p>
      <w:pPr>
        <w:spacing w:before="240" w:after="120"/>
        <w:ind w:left="360"/>
      </w:pPr>
      <w:r>
        <w:rPr>
          <w:b/>
          <w:bCs/>
          <w:color w:val="2E5C8A"/>
        </w:rPr>
        <w:t xml:space="preserve">2.6</w:t>
      </w:r>
      <w:r>
        <w:t xml:space="preserve">  </w:t>
      </w:r>
      <w:r>
        <w:rPr>
          <w:b/>
          <w:bCs/>
        </w:rPr>
        <w:t xml:space="preserve">Data Retention and Deletion Policy</w:t>
      </w:r>
    </w:p>
    <w:p>
      <w:pPr>
        <w:pBdr>
          <w:bottom w:val="single" w:color="CCCCCC" w:sz="6" w:space="1"/>
        </w:pBdr>
        <w:spacing w:before="80" w:after="80"/>
        <w:ind w:left="720"/>
      </w:pPr>
      <w:r>
        <w:t>Active Subscriptions: Data retained for the duration of your subscription. Post-Termination: All customer data retained for 90 days, then permanently deleted within 30 days (total 120 days). Backups: Encrypted backups retained for 90 days on a rolling basis. Audit Logs: Retained for 12 months. Legal Holds: Data may be retained longer if required by law. Earlier deletion available upon request.</w:t>
      </w:r>
    </w:p>
    <w:p>
      <w:pPr>
        <w:pBdr>
          <w:bottom w:val="single" w:color="CCCCCC" w:sz="6" w:space="1"/>
        </w:pBdr>
        <w:spacing w:before="80" w:after="80"/>
        <w:ind w:left="720"/>
      </w:pPr>
      <w:r>
        <w:rPr>
          <w:sz w:val="24"/>
          <w:szCs w:val="24"/>
        </w:rPr>
        <w:t xml:space="preserve"> </w:t>
      </w:r>
    </w:p>
    <w:p>
      <w:pPr>
        <w:pBdr>
          <w:bottom w:val="single" w:color="CCCCCC" w:sz="6" w:space="1"/>
        </w:pBdr>
        <w:spacing w:before="80" w:after="80"/>
        <w:ind w:left="720"/>
      </w:pPr>
      <w:r>
        <w:rPr>
          <w:sz w:val="24"/>
          <w:szCs w:val="24"/>
        </w:rPr>
        <w:t xml:space="preserve"> </w:t>
      </w:r>
    </w:p>
    <w:p>
      <w:pPr>
        <w:spacing w:before="240" w:after="120"/>
        <w:ind w:left="360"/>
      </w:pPr>
      <w:r>
        <w:rPr>
          <w:b/>
          <w:bCs/>
          <w:color w:val="2E5C8A"/>
        </w:rPr>
        <w:t xml:space="preserve">2.7</w:t>
      </w:r>
      <w:r>
        <w:t xml:space="preserve">  </w:t>
      </w:r>
      <w:r>
        <w:rPr>
          <w:b/>
          <w:bCs/>
        </w:rPr>
        <w:t xml:space="preserve">Procedures for Handling Data Subject Rights Requests</w:t>
      </w:r>
    </w:p>
    <w:p>
      <w:pPr>
        <w:pBdr>
          <w:bottom w:val="single" w:color="CCCCCC" w:sz="6" w:space="1"/>
        </w:pBdr>
        <w:spacing w:before="80" w:after="80"/>
        <w:ind w:left="720"/>
      </w:pPr>
      <w:r>
        <w:t>As your data processor, we assist you in fulfilling data subject rights requests. Self-Service Tools: Our platform provides built-in functionality to search and locate personal data, export data (CSV, JSON), delete or anonymise data, and restrict processing. Assisted Requests: Contact dpo@techvendor.com; we respond within 5 business days. We maintain detailed processing records to help you demonstrate compliance.</w:t>
      </w:r>
    </w:p>
    <w:p>
      <w:pPr>
        <w:pBdr>
          <w:bottom w:val="single" w:color="CCCCCC" w:sz="6" w:space="1"/>
        </w:pBdr>
        <w:spacing w:before="80" w:after="80"/>
        <w:ind w:left="720"/>
      </w:pPr>
      <w:r>
        <w:rPr>
          <w:sz w:val="24"/>
          <w:szCs w:val="24"/>
        </w:rPr>
        <w:t xml:space="preserve"> </w:t>
      </w:r>
    </w:p>
    <w:p>
      <w:pPr>
        <w:pBdr>
          <w:bottom w:val="single" w:color="CCCCCC" w:sz="6" w:space="1"/>
        </w:pBdr>
        <w:spacing w:before="80" w:after="80"/>
        <w:ind w:left="720"/>
      </w:pPr>
      <w:r>
        <w:rPr>
          <w:sz w:val="24"/>
          <w:szCs w:val="24"/>
        </w:rPr>
        <w:t xml:space="preserve"> </w:t>
      </w:r>
    </w:p>
    <w:p>
      <w:pPr>
        <w:spacing w:after="120"/>
        <w:ind w:left="720"/>
      </w:pPr>
      <w:r>
        <w:rPr>
          <w:i/>
          <w:iCs/>
          <w:color w:val="666666"/>
          <w:sz w:val="20"/>
          <w:szCs w:val="20"/>
        </w:rPr>
        <w:t xml:space="preserve">Describe how you support access, rectification, erasure, and portability requests</w:t>
      </w:r>
    </w:p>
    <w:p>
      <w:pPr>
        <w:spacing w:before="240" w:after="120"/>
        <w:ind w:left="360"/>
      </w:pPr>
      <w:r>
        <w:rPr>
          <w:b/>
          <w:bCs/>
          <w:color w:val="2E5C8A"/>
        </w:rPr>
        <w:t xml:space="preserve">2.8</w:t>
      </w:r>
      <w:r>
        <w:t xml:space="preserve">  </w:t>
      </w:r>
      <w:r>
        <w:rPr>
          <w:b/>
          <w:bCs/>
        </w:rPr>
        <w:t xml:space="preserve">Most Recent Privacy/Data Protection Audit</w:t>
      </w:r>
    </w:p>
    <w:p>
      <w:pPr>
        <w:pBdr>
          <w:bottom w:val="single" w:color="CCCCCC" w:sz="6" w:space="1"/>
        </w:pBdr>
        <w:spacing w:before="80" w:after="80"/>
        <w:ind w:left="720"/>
      </w:pPr>
      <w:r>
        <w:t>Date: November 2024. Auditor: Privacy &amp;amp; Security Consulting Ltd (independent external consultants). Scope: Comprehensive assessment of UK GDPR and Data Protection Act 2018 compliance. Findings: Full compliance confirmed. Minor recommendations around documentation clarity and staff training materials, all addressed by December 2024. Summary audit report available under mutual confidentiality agreement.</w:t>
      </w:r>
    </w:p>
    <w:p>
      <w:pPr>
        <w:pBdr>
          <w:bottom w:val="single" w:color="CCCCCC" w:sz="6" w:space="1"/>
        </w:pBdr>
        <w:spacing w:before="80" w:after="80"/>
        <w:ind w:left="720"/>
      </w:pPr>
      <w:r>
        <w:rPr>
          <w:sz w:val="24"/>
          <w:szCs w:val="24"/>
        </w:rPr>
        <w:t xml:space="preserve"> </w:t>
      </w:r>
    </w:p>
    <w:p>
      <w:pPr>
        <w:spacing w:after="120"/>
        <w:ind w:left="720"/>
      </w:pPr>
      <w:r>
        <w:rPr>
          <w:i/>
          <w:iCs/>
          <w:color w:val="666666"/>
          <w:sz w:val="20"/>
          <w:szCs w:val="20"/>
        </w:rPr>
        <w:t xml:space="preserve">Date, auditor, and summary of key findings</w:t>
      </w:r>
    </w:p>
    <w:p>
      <w:pPr>
        <w:pStyle w:val="Heading2"/>
      </w:pPr>
      <w:r>
        <w:t xml:space="preserve">SECTION 3: INFORMATION SECURITY</w:t>
      </w:r>
    </w:p>
    <w:p>
      <w:pPr>
        <w:spacing w:before="240" w:after="120"/>
        <w:ind w:left="360"/>
      </w:pPr>
      <w:r>
        <w:rPr>
          <w:b/>
          <w:bCs/>
          <w:color w:val="2E5C8A"/>
        </w:rPr>
        <w:t xml:space="preserve">3.1</w:t>
      </w:r>
      <w:r>
        <w:t xml:space="preserve">  </w:t>
      </w:r>
      <w:r>
        <w:rPr>
          <w:b/>
          <w:bCs/>
        </w:rPr>
        <w:t xml:space="preserve">Security Certifications and Attestations</w:t>
      </w:r>
    </w:p>
    <w:p>
      <w:pPr>
        <w:pBdr>
          <w:bottom w:val="single" w:color="CCCCCC" w:sz="6" w:space="1"/>
        </w:pBdr>
        <w:spacing w:before="80" w:after="80"/>
        <w:ind w:left="720"/>
      </w:pPr>
      <w:r>
        <w:t>ISO 27001:2022 Information Security Management — Certificate Number: ISO27001-123456, Certifying Body: BSI Group, Issue Date: March 2023, Expiry Date: March 2026. SOC 2 Type II Report — Reporting Period: October 2023 - October 2024, Trust Service Categories: Security, Availability, Confidentiality. Copies of certificates available upon request.</w:t>
      </w:r>
    </w:p>
    <w:p>
      <w:pPr>
        <w:pBdr>
          <w:bottom w:val="single" w:color="CCCCCC" w:sz="6" w:space="1"/>
        </w:pBdr>
        <w:spacing w:before="80" w:after="80"/>
        <w:ind w:left="720"/>
      </w:pPr>
      <w:r>
        <w:rPr>
          <w:sz w:val="24"/>
          <w:szCs w:val="24"/>
        </w:rPr>
        <w:t xml:space="preserve"> </w:t>
      </w:r>
    </w:p>
    <w:p>
      <w:pPr>
        <w:spacing w:after="120"/>
        <w:ind w:left="720"/>
      </w:pPr>
      <w:r>
        <w:rPr>
          <w:i/>
          <w:iCs/>
          <w:color w:val="666666"/>
          <w:sz w:val="20"/>
          <w:szCs w:val="20"/>
        </w:rPr>
        <w:t xml:space="preserve">List any ISO 27001, SOC 2, Cyber Essentials, or similar certifications with expiry dates</w:t>
      </w:r>
    </w:p>
    <w:p>
      <w:pPr>
        <w:spacing w:before="240" w:after="120"/>
        <w:ind w:left="360"/>
      </w:pPr>
      <w:r>
        <w:rPr>
          <w:b/>
          <w:bCs/>
          <w:color w:val="2E5C8A"/>
        </w:rPr>
        <w:t xml:space="preserve">3.2</w:t>
      </w:r>
      <w:r>
        <w:t xml:space="preserve">  </w:t>
      </w:r>
      <w:r>
        <w:rPr>
          <w:b/>
          <w:bCs/>
        </w:rPr>
        <w:t xml:space="preserve">Information Security Governance</w:t>
      </w:r>
    </w:p>
    <w:p>
      <w:pPr>
        <w:pBdr>
          <w:bottom w:val="single" w:color="CCCCCC" w:sz="6" w:space="1"/>
        </w:pBdr>
        <w:spacing w:before="80" w:after="80"/>
        <w:ind w:left="720"/>
      </w:pPr>
      <w:r>
        <w:t>Our CISO reports directly to the CEO and provides quarterly reports to the Board of Directors. Information Security Committee meets monthly, chaired by CISO, with members including CTO, Head of Engineering, DPO, Head of Operations, and Head of HR. Board receives quarterly security reports, conducts annual review of security strategy and budget, and receives immediate notification of material security incidents.</w:t>
      </w:r>
    </w:p>
    <w:p>
      <w:pPr>
        <w:pBdr>
          <w:bottom w:val="single" w:color="CCCCCC" w:sz="6" w:space="1"/>
        </w:pBdr>
        <w:spacing w:before="80" w:after="80"/>
        <w:ind w:left="720"/>
      </w:pPr>
      <w:r>
        <w:rPr>
          <w:sz w:val="24"/>
          <w:szCs w:val="24"/>
        </w:rPr>
        <w:t xml:space="preserve"> </w:t>
      </w:r>
    </w:p>
    <w:p>
      <w:pPr>
        <w:pBdr>
          <w:bottom w:val="single" w:color="CCCCCC" w:sz="6" w:space="1"/>
        </w:pBdr>
        <w:spacing w:before="80" w:after="80"/>
        <w:ind w:left="720"/>
      </w:pPr>
      <w:r>
        <w:rPr>
          <w:sz w:val="24"/>
          <w:szCs w:val="24"/>
        </w:rPr>
        <w:t xml:space="preserve"> </w:t>
      </w:r>
    </w:p>
    <w:p>
      <w:pPr>
        <w:spacing w:after="120"/>
        <w:ind w:left="720"/>
      </w:pPr>
      <w:r>
        <w:rPr>
          <w:i/>
          <w:iCs/>
          <w:color w:val="666666"/>
          <w:sz w:val="20"/>
          <w:szCs w:val="20"/>
        </w:rPr>
        <w:t xml:space="preserve">Describe reporting structure, who owns security, and how often security is reviewed at board level</w:t>
      </w:r>
    </w:p>
    <w:p>
      <w:pPr>
        <w:spacing w:before="240" w:after="120"/>
        <w:ind w:left="360"/>
      </w:pPr>
      <w:r>
        <w:rPr>
          <w:b/>
          <w:bCs/>
          <w:color w:val="2E5C8A"/>
        </w:rPr>
        <w:t xml:space="preserve">3.3</w:t>
      </w:r>
      <w:r>
        <w:t xml:space="preserve">  </w:t>
      </w:r>
      <w:r>
        <w:rPr>
          <w:b/>
          <w:bCs/>
        </w:rPr>
        <w:t xml:space="preserve">Security Testing and Assessments</w:t>
      </w:r>
    </w:p>
    <w:p>
      <w:pPr>
        <w:pBdr>
          <w:bottom w:val="single" w:color="CCCCCC" w:sz="6" w:space="1"/>
        </w:pBdr>
        <w:spacing w:before="80" w:after="80"/>
        <w:ind w:left="720"/>
      </w:pPr>
      <w:r>
        <w:t>Annual External Penetration Testing: Last conducted August 2024 by CREST-certified firm, covering full application, infrastructure, and API security. All high-severity findings remediated within 30 days. Quarterly Vulnerability Scanning: Automated scanning of all internet-facing and internal systems with remediation SLAs (Critical: 7 days, High: 30 days, Medium: 90 days). Continuous Security Monitoring: 24/7 SIEM, automated threat detection, Security Operations Centre monitoring.</w:t>
      </w:r>
    </w:p>
    <w:p>
      <w:pPr>
        <w:pBdr>
          <w:bottom w:val="single" w:color="CCCCCC" w:sz="6" w:space="1"/>
        </w:pBdr>
        <w:spacing w:before="80" w:after="80"/>
        <w:ind w:left="720"/>
      </w:pPr>
      <w:r>
        <w:rPr>
          <w:sz w:val="24"/>
          <w:szCs w:val="24"/>
        </w:rPr>
        <w:t xml:space="preserve"> </w:t>
      </w:r>
    </w:p>
    <w:p>
      <w:pPr>
        <w:pBdr>
          <w:bottom w:val="single" w:color="CCCCCC" w:sz="6" w:space="1"/>
        </w:pBdr>
        <w:spacing w:before="80" w:after="80"/>
        <w:ind w:left="720"/>
      </w:pPr>
      <w:r>
        <w:rPr>
          <w:sz w:val="24"/>
          <w:szCs w:val="24"/>
        </w:rPr>
        <w:t xml:space="preserve"> </w:t>
      </w:r>
    </w:p>
    <w:p>
      <w:pPr>
        <w:spacing w:after="120"/>
        <w:ind w:left="720"/>
      </w:pPr>
      <w:r>
        <w:rPr>
          <w:i/>
          <w:iCs/>
          <w:color w:val="666666"/>
          <w:sz w:val="20"/>
          <w:szCs w:val="20"/>
        </w:rPr>
        <w:t xml:space="preserve">Frequency of penetration testing, vulnerability scanning, and security audits</w:t>
      </w:r>
    </w:p>
    <w:p>
      <w:pPr>
        <w:spacing w:before="240" w:after="120"/>
        <w:ind w:left="360"/>
      </w:pPr>
      <w:r>
        <w:rPr>
          <w:b/>
          <w:bCs/>
          <w:color w:val="2E5C8A"/>
        </w:rPr>
        <w:t xml:space="preserve">3.4</w:t>
      </w:r>
      <w:r>
        <w:t xml:space="preserve">  </w:t>
      </w:r>
      <w:r>
        <w:rPr>
          <w:b/>
          <w:bCs/>
        </w:rPr>
        <w:t xml:space="preserve">Access Control Framework</w:t>
      </w:r>
    </w:p>
    <w:p>
      <w:pPr>
        <w:pBdr>
          <w:bottom w:val="single" w:color="CCCCCC" w:sz="6" w:space="1"/>
        </w:pBdr>
        <w:spacing w:before="80" w:after="80"/>
        <w:ind w:left="720"/>
      </w:pPr>
      <w:r>
        <w:t>Authentication: MFA mandatory for all accounts, support for TOTP/SMS/hardware tokens, minimum 12-character passwords, lockout after 5 failed attempts. SSO: SAML 2.0 with Okta, Azure AD, Google Workspace. RBAC: Granular permissions with least privilege principle, pre-defined roles (Admin, User, Read-Only, Auditor). Privileged Access Management: Additional MFA for admin, just-in-time access, all privileged actions logged, quarterly access reviews.</w:t>
      </w:r>
    </w:p>
    <w:p>
      <w:pPr>
        <w:pBdr>
          <w:bottom w:val="single" w:color="CCCCCC" w:sz="6" w:space="1"/>
        </w:pBdr>
        <w:spacing w:before="80" w:after="80"/>
        <w:ind w:left="720"/>
      </w:pPr>
      <w:r>
        <w:rPr>
          <w:sz w:val="24"/>
          <w:szCs w:val="24"/>
        </w:rPr>
        <w:t xml:space="preserve"> </w:t>
      </w:r>
    </w:p>
    <w:p>
      <w:pPr>
        <w:pBdr>
          <w:bottom w:val="single" w:color="CCCCCC" w:sz="6" w:space="1"/>
        </w:pBdr>
        <w:spacing w:before="80" w:after="80"/>
        <w:ind w:left="720"/>
      </w:pPr>
      <w:r>
        <w:rPr>
          <w:sz w:val="24"/>
          <w:szCs w:val="24"/>
        </w:rPr>
        <w:t xml:space="preserve"> </w:t>
      </w:r>
    </w:p>
    <w:p>
      <w:pPr>
        <w:spacing w:after="120"/>
        <w:ind w:left="720"/>
      </w:pPr>
      <w:r>
        <w:rPr>
          <w:i/>
          <w:iCs/>
          <w:color w:val="666666"/>
          <w:sz w:val="20"/>
          <w:szCs w:val="20"/>
        </w:rPr>
        <w:t xml:space="preserve">Authentication methods, MFA, role-based access, privileged access management</w:t>
      </w:r>
    </w:p>
    <w:p>
      <w:pPr>
        <w:spacing w:before="240" w:after="120"/>
        <w:ind w:left="360"/>
      </w:pPr>
      <w:r>
        <w:rPr>
          <w:b/>
          <w:bCs/>
          <w:color w:val="2E5C8A"/>
        </w:rPr>
        <w:t xml:space="preserve">3.5</w:t>
      </w:r>
      <w:r>
        <w:t xml:space="preserve">  </w:t>
      </w:r>
      <w:r>
        <w:rPr>
          <w:b/>
          <w:bCs/>
        </w:rPr>
        <w:t xml:space="preserve">Encryption Standards</w:t>
      </w:r>
    </w:p>
    <w:p>
      <w:pPr>
        <w:pBdr>
          <w:bottom w:val="single" w:color="CCCCCC" w:sz="6" w:space="1"/>
        </w:pBdr>
        <w:spacing w:before="80" w:after="80"/>
        <w:ind w:left="720"/>
      </w:pPr>
      <w:r>
        <w:t>Data in Transit: TLS 1.3 (TLS 1.2 minimum), Perfect Forward Secrecy, strong cipher suites only. Data at Rest: AES-256 for all databases and file storage, full disk encryption on all servers and devices. Key Management: AWS KMS with automatic 90-day key rotation, HSM for master keys, customer-managed keys (CMEK) available in Enterprise tier.</w:t>
      </w:r>
    </w:p>
    <w:p>
      <w:pPr>
        <w:pBdr>
          <w:bottom w:val="single" w:color="CCCCCC" w:sz="6" w:space="1"/>
        </w:pBdr>
        <w:spacing w:before="80" w:after="80"/>
        <w:ind w:left="720"/>
      </w:pPr>
      <w:r>
        <w:rPr>
          <w:sz w:val="24"/>
          <w:szCs w:val="24"/>
        </w:rPr>
        <w:t xml:space="preserve"> </w:t>
      </w:r>
    </w:p>
    <w:p>
      <w:pPr>
        <w:spacing w:after="120"/>
        <w:ind w:left="720"/>
      </w:pPr>
      <w:r>
        <w:rPr>
          <w:i/>
          <w:iCs/>
          <w:color w:val="666666"/>
          <w:sz w:val="20"/>
          <w:szCs w:val="20"/>
        </w:rPr>
        <w:t xml:space="preserve">Specify encryption for data in transit and at rest, including key management practices</w:t>
      </w:r>
    </w:p>
    <w:p>
      <w:pPr>
        <w:spacing w:before="240" w:after="120"/>
        <w:ind w:left="360"/>
      </w:pPr>
      <w:r>
        <w:rPr>
          <w:b/>
          <w:bCs/>
          <w:color w:val="2E5C8A"/>
        </w:rPr>
        <w:t xml:space="preserve">3.6</w:t>
      </w:r>
      <w:r>
        <w:t xml:space="preserve">  </w:t>
      </w:r>
      <w:r>
        <w:rPr>
          <w:b/>
          <w:bCs/>
        </w:rPr>
        <w:t xml:space="preserve">Security Incident Response</w:t>
      </w:r>
    </w:p>
    <w:p>
      <w:pPr>
        <w:pBdr>
          <w:bottom w:val="single" w:color="CCCCCC" w:sz="6" w:space="1"/>
        </w:pBdr>
        <w:spacing w:before="80" w:after="80"/>
        <w:ind w:left="720"/>
      </w:pPr>
      <w:r>
        <w:t>24/7 Contacts: security-incident@techvendor.com, Emergency Hotline: +44 (0)118 999 8888. Incident Response Process: Detection and Triage within 1 hour, Investigation and Containment within 4 hours (high severity). Customer Notification: Personal data breach within 24 hours, service disruption immediately via status page. Post-Incident Review within 5 business days. Cyber Insurance: £10 million coverage with specialist forensics retainer.</w:t>
      </w:r>
    </w:p>
    <w:p>
      <w:pPr>
        <w:pBdr>
          <w:bottom w:val="single" w:color="CCCCCC" w:sz="6" w:space="1"/>
        </w:pBdr>
        <w:spacing w:before="80" w:after="80"/>
        <w:ind w:left="720"/>
      </w:pPr>
      <w:r>
        <w:rPr>
          <w:sz w:val="24"/>
          <w:szCs w:val="24"/>
        </w:rPr>
        <w:t xml:space="preserve"> </w:t>
      </w:r>
    </w:p>
    <w:p>
      <w:pPr>
        <w:pBdr>
          <w:bottom w:val="single" w:color="CCCCCC" w:sz="6" w:space="1"/>
        </w:pBdr>
        <w:spacing w:before="80" w:after="80"/>
        <w:ind w:left="720"/>
      </w:pPr>
      <w:r>
        <w:rPr>
          <w:sz w:val="24"/>
          <w:szCs w:val="24"/>
        </w:rPr>
        <w:t xml:space="preserve"> </w:t>
      </w:r>
    </w:p>
    <w:p>
      <w:pPr>
        <w:spacing w:after="120"/>
        <w:ind w:left="720"/>
      </w:pPr>
      <w:r>
        <w:rPr>
          <w:i/>
          <w:iCs/>
          <w:color w:val="666666"/>
          <w:sz w:val="20"/>
          <w:szCs w:val="20"/>
        </w:rPr>
        <w:t xml:space="preserve">Describe incident response process, timeline for notification, and provide emergency contact details</w:t>
      </w:r>
    </w:p>
    <w:p>
      <w:pPr>
        <w:spacing w:before="240" w:after="120"/>
        <w:ind w:left="360"/>
      </w:pPr>
      <w:r>
        <w:rPr>
          <w:b/>
          <w:bCs/>
          <w:color w:val="2E5C8A"/>
        </w:rPr>
        <w:t xml:space="preserve">3.7</w:t>
      </w:r>
      <w:r>
        <w:t xml:space="preserve">  </w:t>
      </w:r>
      <w:r>
        <w:rPr>
          <w:b/>
          <w:bCs/>
        </w:rPr>
        <w:t xml:space="preserve">Security Breach History</w:t>
      </w:r>
    </w:p>
    <w:p>
      <w:pPr>
        <w:pBdr>
          <w:bottom w:val="single" w:color="CCCCCC" w:sz="6" w:space="1"/>
        </w:pBdr>
        <w:spacing w:before="80" w:after="80"/>
        <w:ind w:left="720"/>
      </w:pPr>
      <w:r>
        <w:t>No material security breaches or personal data breaches in the last three years. Minor Incident (February 2023): Attempted credential stuffing attack detected and blocked by automated systems. No customer data accessed or compromised. Remediation: Enhanced rate limiting and IP reputation filtering implemented. Comprehensive incident register available under mutual NDA.</w:t>
      </w:r>
    </w:p>
    <w:p>
      <w:pPr>
        <w:pBdr>
          <w:bottom w:val="single" w:color="CCCCCC" w:sz="6" w:space="1"/>
        </w:pBdr>
        <w:spacing w:before="80" w:after="80"/>
        <w:ind w:left="720"/>
      </w:pPr>
      <w:r>
        <w:rPr>
          <w:sz w:val="24"/>
          <w:szCs w:val="24"/>
        </w:rPr>
        <w:t xml:space="preserve"> </w:t>
      </w:r>
    </w:p>
    <w:p>
      <w:pPr>
        <w:pBdr>
          <w:bottom w:val="single" w:color="CCCCCC" w:sz="6" w:space="1"/>
        </w:pBdr>
        <w:spacing w:before="80" w:after="80"/>
        <w:ind w:left="720"/>
      </w:pPr>
      <w:r>
        <w:rPr>
          <w:sz w:val="24"/>
          <w:szCs w:val="24"/>
        </w:rPr>
        <w:t xml:space="preserve"> </w:t>
      </w:r>
    </w:p>
    <w:p>
      <w:pPr>
        <w:spacing w:after="120"/>
        <w:ind w:left="720"/>
      </w:pPr>
      <w:r>
        <w:rPr>
          <w:i/>
          <w:iCs/>
          <w:color w:val="666666"/>
          <w:sz w:val="20"/>
          <w:szCs w:val="20"/>
        </w:rPr>
        <w:t xml:space="preserve">Disclose any security incidents or data breaches in the last three years</w:t>
      </w:r>
    </w:p>
    <w:p>
      <w:pPr>
        <w:spacing w:before="240" w:after="120"/>
        <w:ind w:left="360"/>
      </w:pPr>
      <w:r>
        <w:rPr>
          <w:b/>
          <w:bCs/>
          <w:color w:val="2E5C8A"/>
        </w:rPr>
        <w:t xml:space="preserve">3.8</w:t>
      </w:r>
      <w:r>
        <w:t xml:space="preserve">  </w:t>
      </w:r>
      <w:r>
        <w:rPr>
          <w:b/>
          <w:bCs/>
        </w:rPr>
        <w:t xml:space="preserve">Security Awareness Programme</w:t>
      </w:r>
    </w:p>
    <w:p>
      <w:pPr>
        <w:pBdr>
          <w:bottom w:val="single" w:color="CCCCCC" w:sz="6" w:space="1"/>
        </w:pBdr>
        <w:spacing w:before="80" w:after="80"/>
        <w:ind w:left="720"/>
      </w:pPr>
      <w:r>
        <w:t>Mandatory Training: New employee onboarding within first week, annual refresher (98% completion rate), role-specific training for engineering/support/admin staff. Ongoing: Monthly security bulletins, quarterly lunch-and-learn sessions. Phishing Simulations: Quarterly exercises, current click rate less than 5% (industry average 20-30%). No-blame reporting culture with recognition programme for security champions.</w:t>
      </w:r>
    </w:p>
    <w:p>
      <w:pPr>
        <w:pBdr>
          <w:bottom w:val="single" w:color="CCCCCC" w:sz="6" w:space="1"/>
        </w:pBdr>
        <w:spacing w:before="80" w:after="80"/>
        <w:ind w:left="720"/>
      </w:pPr>
      <w:r>
        <w:rPr>
          <w:sz w:val="24"/>
          <w:szCs w:val="24"/>
        </w:rPr>
        <w:t xml:space="preserve"> </w:t>
      </w:r>
    </w:p>
    <w:p>
      <w:pPr>
        <w:spacing w:after="120"/>
        <w:ind w:left="720"/>
      </w:pPr>
      <w:r>
        <w:rPr>
          <w:i/>
          <w:iCs/>
          <w:color w:val="666666"/>
          <w:sz w:val="20"/>
          <w:szCs w:val="20"/>
        </w:rPr>
        <w:t xml:space="preserve">Training frequency, content, and completion rates</w:t>
      </w:r>
    </w:p>
    <w:p>
      <w:pPr>
        <w:spacing w:before="240" w:after="120"/>
        <w:ind w:left="360"/>
      </w:pPr>
      <w:r>
        <w:rPr>
          <w:b/>
          <w:bCs/>
          <w:color w:val="2E5C8A"/>
        </w:rPr>
        <w:t xml:space="preserve">3.9</w:t>
      </w:r>
      <w:r>
        <w:t xml:space="preserve">  </w:t>
      </w:r>
      <w:r>
        <w:rPr>
          <w:b/>
          <w:bCs/>
        </w:rPr>
        <w:t xml:space="preserve">Business Continuity and Disaster Recovery</w:t>
      </w:r>
    </w:p>
    <w:p>
      <w:pPr>
        <w:pBdr>
          <w:bottom w:val="single" w:color="CCCCCC" w:sz="6" w:space="1"/>
        </w:pBdr>
        <w:spacing w:before="80" w:after="80"/>
        <w:ind w:left="720"/>
      </w:pPr>
      <w:r>
        <w:t>Recovery Objectives: RTO 4 hours, RPO 1 hour, 99.9% availability target. Backup Infrastructure: Automated hourly backups from London to Dublin, 90-day retention, daily integrity testing. High Availability: Multi-AZ deployment with automatic failover, load balancing, no single points of failure. DR Testing: Annual full exercise (last October 2024, achieved RTO 2.5 hours, RPO under 30 minutes), quarterly failover testing. 100% remote work capability.</w:t>
      </w:r>
    </w:p>
    <w:p>
      <w:pPr>
        <w:pBdr>
          <w:bottom w:val="single" w:color="CCCCCC" w:sz="6" w:space="1"/>
        </w:pBdr>
        <w:spacing w:before="80" w:after="80"/>
        <w:ind w:left="720"/>
      </w:pPr>
      <w:r>
        <w:rPr>
          <w:sz w:val="24"/>
          <w:szCs w:val="24"/>
        </w:rPr>
        <w:t xml:space="preserve"> </w:t>
      </w:r>
    </w:p>
    <w:p>
      <w:pPr>
        <w:pBdr>
          <w:bottom w:val="single" w:color="CCCCCC" w:sz="6" w:space="1"/>
        </w:pBdr>
        <w:spacing w:before="80" w:after="80"/>
        <w:ind w:left="720"/>
      </w:pPr>
      <w:r>
        <w:rPr>
          <w:sz w:val="24"/>
          <w:szCs w:val="24"/>
        </w:rPr>
        <w:t xml:space="preserve"> </w:t>
      </w:r>
    </w:p>
    <w:p>
      <w:pPr>
        <w:pBdr>
          <w:bottom w:val="single" w:color="CCCCCC" w:sz="6" w:space="1"/>
        </w:pBdr>
        <w:spacing w:before="80" w:after="80"/>
        <w:ind w:left="720"/>
      </w:pPr>
      <w:r>
        <w:rPr>
          <w:sz w:val="24"/>
          <w:szCs w:val="24"/>
        </w:rPr>
        <w:t xml:space="preserve"> </w:t>
      </w:r>
    </w:p>
    <w:p>
      <w:pPr>
        <w:spacing w:after="120"/>
        <w:ind w:left="720"/>
      </w:pPr>
      <w:r>
        <w:rPr>
          <w:i/>
          <w:iCs/>
          <w:color w:val="666666"/>
          <w:sz w:val="20"/>
          <w:szCs w:val="20"/>
        </w:rPr>
        <w:t xml:space="preserve">RTO, RPO, backup procedures, testing frequency, and most recent test results</w:t>
      </w:r>
    </w:p>
    <w:p>
      <w:pPr>
        <w:pStyle w:val="Heading2"/>
      </w:pPr>
      <w:r>
        <w:t xml:space="preserve">SECTION 4: LEGAL &amp; REGULATORY COMPLIANCE</w:t>
      </w:r>
    </w:p>
    <w:p>
      <w:pPr>
        <w:spacing w:before="240" w:after="120"/>
        <w:ind w:left="360"/>
      </w:pPr>
      <w:r>
        <w:rPr>
          <w:b/>
          <w:bCs/>
          <w:color w:val="2E5C8A"/>
        </w:rPr>
        <w:t xml:space="preserve">4.1</w:t>
      </w:r>
      <w:r>
        <w:t xml:space="preserve">  </w:t>
      </w:r>
      <w:r>
        <w:rPr>
          <w:b/>
          <w:bCs/>
        </w:rPr>
        <w:t xml:space="preserve">Regulatory Licences and Oversight</w:t>
      </w:r>
    </w:p>
    <w:p>
      <w:pPr>
        <w:pBdr>
          <w:bottom w:val="single" w:color="CCCCCC" w:sz="6" w:space="1"/>
        </w:pBdr>
        <w:spacing w:before="80" w:after="80"/>
        <w:ind w:left="720"/>
      </w:pPr>
      <w:r>
        <w:t>Not subject to financial services regulation. We comply with: UK Data Protection Act 2018 and UK GDPR (ICO registration ZA123456), Electronic Commerce Regulations 2002, Consumer Contracts Regulations 2013, Computer Misuse Act 1990, Network and Information Systems Regulations 2018. No specific regulatory licences required for our business activities.</w:t>
      </w:r>
    </w:p>
    <w:p>
      <w:pPr>
        <w:pBdr>
          <w:bottom w:val="single" w:color="CCCCCC" w:sz="6" w:space="1"/>
        </w:pBdr>
        <w:spacing w:before="80" w:after="80"/>
        <w:ind w:left="720"/>
      </w:pPr>
      <w:r>
        <w:rPr>
          <w:sz w:val="24"/>
          <w:szCs w:val="24"/>
        </w:rPr>
        <w:t xml:space="preserve"> </w:t>
      </w:r>
    </w:p>
    <w:p>
      <w:pPr>
        <w:pBdr>
          <w:bottom w:val="single" w:color="CCCCCC" w:sz="6" w:space="1"/>
        </w:pBdr>
        <w:spacing w:before="80" w:after="80"/>
        <w:ind w:left="720"/>
      </w:pPr>
      <w:r>
        <w:rPr>
          <w:sz w:val="24"/>
          <w:szCs w:val="24"/>
        </w:rPr>
        <w:t xml:space="preserve"> </w:t>
      </w:r>
    </w:p>
    <w:p>
      <w:pPr>
        <w:spacing w:after="120"/>
        <w:ind w:left="720"/>
      </w:pPr>
      <w:r>
        <w:rPr>
          <w:i/>
          <w:iCs/>
          <w:color w:val="666666"/>
          <w:sz w:val="20"/>
          <w:szCs w:val="20"/>
        </w:rPr>
        <w:t xml:space="preserve">Identify all regulatory bodies, licences held, and renewal dates</w:t>
      </w:r>
    </w:p>
    <w:p>
      <w:pPr>
        <w:spacing w:before="240" w:after="120"/>
        <w:ind w:left="360"/>
      </w:pPr>
      <w:r>
        <w:rPr>
          <w:b/>
          <w:bCs/>
          <w:color w:val="2E5C8A"/>
        </w:rPr>
        <w:t xml:space="preserve">4.2</w:t>
      </w:r>
      <w:r>
        <w:t xml:space="preserve">  </w:t>
      </w:r>
      <w:r>
        <w:rPr>
          <w:b/>
          <w:bCs/>
        </w:rPr>
        <w:t xml:space="preserve">Regulatory Enforcement Actions</w:t>
      </w:r>
    </w:p>
    <w:p>
      <w:pPr>
        <w:pBdr>
          <w:bottom w:val="single" w:color="CCCCCC" w:sz="6" w:space="1"/>
        </w:pBdr>
        <w:spacing w:before="80" w:after="80"/>
        <w:ind w:left="720"/>
      </w:pPr>
      <w:r>
        <w:t>No. We have not been subject to any regulatory enforcement actions, fines, sanctions, or formal warnings from any regulatory body in the last five years or at any time since incorporation.</w:t>
      </w:r>
    </w:p>
    <w:p>
      <w:pPr>
        <w:pBdr>
          <w:bottom w:val="single" w:color="CCCCCC" w:sz="6" w:space="1"/>
        </w:pBdr>
        <w:spacing w:before="80" w:after="80"/>
        <w:ind w:left="720"/>
      </w:pPr>
      <w:r>
        <w:rPr>
          <w:sz w:val="24"/>
          <w:szCs w:val="24"/>
        </w:rPr>
        <w:t xml:space="preserve"> </w:t>
      </w:r>
    </w:p>
    <w:p>
      <w:pPr>
        <w:spacing w:after="120"/>
        <w:ind w:left="720"/>
      </w:pPr>
      <w:r>
        <w:rPr>
          <w:i/>
          <w:iCs/>
          <w:color w:val="666666"/>
          <w:sz w:val="20"/>
          <w:szCs w:val="20"/>
        </w:rPr>
        <w:t xml:space="preserve">Disclose any fines, sanctions, or enforcement proceedings in the last five years</w:t>
      </w:r>
    </w:p>
    <w:p>
      <w:pPr>
        <w:spacing w:before="240" w:after="120"/>
        <w:ind w:left="360"/>
      </w:pPr>
      <w:r>
        <w:rPr>
          <w:b/>
          <w:bCs/>
          <w:color w:val="2E5C8A"/>
        </w:rPr>
        <w:t xml:space="preserve">4.3</w:t>
      </w:r>
      <w:r>
        <w:t xml:space="preserve">  </w:t>
      </w:r>
      <w:r>
        <w:rPr>
          <w:b/>
          <w:bCs/>
        </w:rPr>
        <w:t xml:space="preserve">Litigation and Disputes</w:t>
      </w:r>
    </w:p>
    <w:p>
      <w:pPr>
        <w:pBdr>
          <w:bottom w:val="single" w:color="CCCCCC" w:sz="6" w:space="1"/>
        </w:pBdr>
        <w:spacing w:before="80" w:after="80"/>
        <w:ind w:left="720"/>
      </w:pPr>
      <w:r>
        <w:t>No current or pending litigation, arbitration, mediation, or regulatory proceedings. We have not been party to any material litigation in our operating history. Standard commercial disputes (if any) are resolved through negotiation without formal proceedings.</w:t>
      </w:r>
    </w:p>
    <w:p>
      <w:pPr>
        <w:pBdr>
          <w:bottom w:val="single" w:color="CCCCCC" w:sz="6" w:space="1"/>
        </w:pBdr>
        <w:spacing w:before="80" w:after="80"/>
        <w:ind w:left="720"/>
      </w:pPr>
      <w:r>
        <w:rPr>
          <w:sz w:val="24"/>
          <w:szCs w:val="24"/>
        </w:rPr>
        <w:t xml:space="preserve"> </w:t>
      </w:r>
    </w:p>
    <w:p>
      <w:pPr>
        <w:spacing w:after="120"/>
        <w:ind w:left="720"/>
      </w:pPr>
      <w:r>
        <w:rPr>
          <w:i/>
          <w:iCs/>
          <w:color w:val="666666"/>
          <w:sz w:val="20"/>
          <w:szCs w:val="20"/>
        </w:rPr>
        <w:t xml:space="preserve">Current or pending legal proceedings that could materially affect service delivery</w:t>
      </w:r>
    </w:p>
    <w:p>
      <w:pPr>
        <w:spacing w:before="240" w:after="120"/>
        <w:ind w:left="360"/>
      </w:pPr>
      <w:r>
        <w:rPr>
          <w:b/>
          <w:bCs/>
          <w:color w:val="2E5C8A"/>
        </w:rPr>
        <w:t xml:space="preserve">4.4</w:t>
      </w:r>
      <w:r>
        <w:t xml:space="preserve">  </w:t>
      </w:r>
      <w:r>
        <w:rPr>
          <w:b/>
          <w:bCs/>
        </w:rPr>
        <w:t xml:space="preserve">Anti-Bribery and Corruption Programme</w:t>
      </w:r>
    </w:p>
    <w:p>
      <w:pPr>
        <w:pBdr>
          <w:bottom w:val="single" w:color="CCCCCC" w:sz="6" w:space="1"/>
        </w:pBdr>
        <w:spacing w:before="80" w:after="80"/>
        <w:ind w:left="720"/>
      </w:pPr>
      <w:r>
        <w:t>Comprehensive programme compliant with UK Bribery Act 2010. Zero-tolerance policy on bribery and corruption. Due diligence on all third-party relationships. Gifts register with pre-approval over £50. Annual mandatory training (100% completion rate). Confidential whistleblowing hotline with non-retaliation policy. Working towards ISO 37001 certification (target Q3 2025).</w:t>
      </w:r>
    </w:p>
    <w:p>
      <w:pPr>
        <w:pBdr>
          <w:bottom w:val="single" w:color="CCCCCC" w:sz="6" w:space="1"/>
        </w:pBdr>
        <w:spacing w:before="80" w:after="80"/>
        <w:ind w:left="720"/>
      </w:pPr>
      <w:r>
        <w:rPr>
          <w:sz w:val="24"/>
          <w:szCs w:val="24"/>
        </w:rPr>
        <w:t xml:space="preserve"> </w:t>
      </w:r>
    </w:p>
    <w:p>
      <w:pPr>
        <w:pBdr>
          <w:bottom w:val="single" w:color="CCCCCC" w:sz="6" w:space="1"/>
        </w:pBdr>
        <w:spacing w:before="80" w:after="80"/>
        <w:ind w:left="720"/>
      </w:pPr>
      <w:r>
        <w:rPr>
          <w:sz w:val="24"/>
          <w:szCs w:val="24"/>
        </w:rPr>
        <w:t xml:space="preserve"> </w:t>
      </w:r>
    </w:p>
    <w:p>
      <w:pPr>
        <w:spacing w:after="120"/>
        <w:ind w:left="720"/>
      </w:pPr>
      <w:r>
        <w:rPr>
          <w:i/>
          <w:iCs/>
          <w:color w:val="666666"/>
          <w:sz w:val="20"/>
          <w:szCs w:val="20"/>
        </w:rPr>
        <w:t xml:space="preserve">Policy details, training, monitoring, and any relevant certifications</w:t>
      </w:r>
    </w:p>
    <w:p>
      <w:pPr>
        <w:spacing w:before="240" w:after="120"/>
        <w:ind w:left="360"/>
      </w:pPr>
      <w:r>
        <w:rPr>
          <w:b/>
          <w:bCs/>
          <w:color w:val="2E5C8A"/>
        </w:rPr>
        <w:t xml:space="preserve">4.5</w:t>
      </w:r>
      <w:r>
        <w:t xml:space="preserve">  </w:t>
      </w:r>
      <w:r>
        <w:rPr>
          <w:b/>
          <w:bCs/>
        </w:rPr>
        <w:t xml:space="preserve">Sanctions Screening Procedures</w:t>
      </w:r>
    </w:p>
    <w:p>
      <w:pPr>
        <w:pBdr>
          <w:bottom w:val="single" w:color="CCCCCC" w:sz="6" w:space="1"/>
        </w:pBdr>
        <w:spacing w:before="80" w:after="80"/>
        <w:ind w:left="720"/>
      </w:pPr>
      <w:r>
        <w:t>Comprehensive sanctions screening: UK OFSI, EU, UN Security Council, and US OFAC lists. New customers screened before activation, existing customers rescreened quarterly, immediate screening on list updates. Automated screening with specialist compliance software and fuzzy matching. All screening activity logged with 7-year retention.</w:t>
      </w:r>
    </w:p>
    <w:p>
      <w:pPr>
        <w:pBdr>
          <w:bottom w:val="single" w:color="CCCCCC" w:sz="6" w:space="1"/>
        </w:pBdr>
        <w:spacing w:before="80" w:after="80"/>
        <w:ind w:left="720"/>
      </w:pPr>
      <w:r>
        <w:rPr>
          <w:sz w:val="24"/>
          <w:szCs w:val="24"/>
        </w:rPr>
        <w:t xml:space="preserve"> </w:t>
      </w:r>
    </w:p>
    <w:p>
      <w:pPr>
        <w:pBdr>
          <w:bottom w:val="single" w:color="CCCCCC" w:sz="6" w:space="1"/>
        </w:pBdr>
        <w:spacing w:before="80" w:after="80"/>
        <w:ind w:left="720"/>
      </w:pPr>
      <w:r>
        <w:rPr>
          <w:sz w:val="24"/>
          <w:szCs w:val="24"/>
        </w:rPr>
        <w:t xml:space="preserve"> </w:t>
      </w:r>
    </w:p>
    <w:p>
      <w:pPr>
        <w:spacing w:before="240" w:after="120"/>
        <w:ind w:left="360"/>
      </w:pPr>
      <w:r>
        <w:rPr>
          <w:b/>
          <w:bCs/>
          <w:color w:val="2E5C8A"/>
        </w:rPr>
        <w:t xml:space="preserve">4.6</w:t>
      </w:r>
      <w:r>
        <w:t xml:space="preserve">  </w:t>
      </w:r>
      <w:r>
        <w:rPr>
          <w:b/>
          <w:bCs/>
        </w:rPr>
        <w:t xml:space="preserve">Modern Slavery and Labour Standards</w:t>
      </w:r>
    </w:p>
    <w:p>
      <w:pPr>
        <w:pBdr>
          <w:bottom w:val="single" w:color="CCCCCC" w:sz="6" w:space="1"/>
        </w:pBdr>
        <w:spacing w:before="80" w:after="80"/>
        <w:ind w:left="720"/>
      </w:pPr>
      <w:r>
        <w:t>Modern Slavery Statement published annually (compliant with Modern Slavery Act 2015), approved by Board. Due diligence on all suppliers with enhanced scrutiny for high-risk sectors. Direct employment contracts, prohibition on recruitment fees, right to work verification. All UK employees paid above Real Living Wage. Annual training for all employees. Whistleblowing procedures in place.</w:t>
      </w:r>
    </w:p>
    <w:p>
      <w:pPr>
        <w:pBdr>
          <w:bottom w:val="single" w:color="CCCCCC" w:sz="6" w:space="1"/>
        </w:pBdr>
        <w:spacing w:before="80" w:after="80"/>
        <w:ind w:left="720"/>
      </w:pPr>
      <w:r>
        <w:rPr>
          <w:sz w:val="24"/>
          <w:szCs w:val="24"/>
        </w:rPr>
        <w:t xml:space="preserve"> </w:t>
      </w:r>
    </w:p>
    <w:p>
      <w:pPr>
        <w:pBdr>
          <w:bottom w:val="single" w:color="CCCCCC" w:sz="6" w:space="1"/>
        </w:pBdr>
        <w:spacing w:before="80" w:after="80"/>
        <w:ind w:left="720"/>
      </w:pPr>
      <w:r>
        <w:rPr>
          <w:sz w:val="24"/>
          <w:szCs w:val="24"/>
        </w:rPr>
        <w:t xml:space="preserve"> </w:t>
      </w:r>
    </w:p>
    <w:p>
      <w:pPr>
        <w:spacing w:after="120"/>
        <w:ind w:left="720"/>
      </w:pPr>
      <w:r>
        <w:rPr>
          <w:i/>
          <w:iCs/>
          <w:color w:val="666666"/>
          <w:sz w:val="20"/>
          <w:szCs w:val="20"/>
        </w:rPr>
        <w:t xml:space="preserve">Policy statement, supply chain due diligence, and Modern Slavery Act compliance</w:t>
      </w:r>
    </w:p>
    <w:p>
      <w:pPr>
        <w:spacing w:before="240" w:after="120"/>
        <w:ind w:left="360"/>
      </w:pPr>
      <w:r>
        <w:rPr>
          <w:b/>
          <w:bCs/>
          <w:color w:val="2E5C8A"/>
        </w:rPr>
        <w:t xml:space="preserve">4.7</w:t>
      </w:r>
      <w:r>
        <w:t xml:space="preserve">  </w:t>
      </w:r>
      <w:r>
        <w:rPr>
          <w:b/>
          <w:bCs/>
        </w:rPr>
        <w:t xml:space="preserve">Code of Conduct and Ethics Policy</w:t>
      </w:r>
    </w:p>
    <w:p>
      <w:pPr>
        <w:pBdr>
          <w:bottom w:val="single" w:color="CCCCCC" w:sz="6" w:space="1"/>
        </w:pBdr>
        <w:spacing w:before="80" w:after="80"/>
        <w:ind w:left="720"/>
      </w:pPr>
      <w:r>
        <w:t>Yes. Our Code of Business Conduct and Ethics covers: professional integrity, conflicts of interest, confidentiality, anti-bribery, fair competition, diversity/inclusion, environmental responsibility, and whistleblowing. All employees sign acknowledgment annually. Published at www.techvendor.com/code-of-conduct.</w:t>
      </w:r>
    </w:p>
    <w:p>
      <w:pPr>
        <w:pBdr>
          <w:bottom w:val="single" w:color="CCCCCC" w:sz="6" w:space="1"/>
        </w:pBdr>
        <w:spacing w:before="80" w:after="80"/>
        <w:ind w:left="720"/>
      </w:pPr>
      <w:r>
        <w:rPr>
          <w:sz w:val="24"/>
          <w:szCs w:val="24"/>
        </w:rPr>
        <w:t xml:space="preserve"> </w:t>
      </w:r>
    </w:p>
    <w:p>
      <w:pPr>
        <w:spacing w:after="120"/>
        <w:ind w:left="720"/>
      </w:pPr>
      <w:r>
        <w:rPr>
          <w:i/>
          <w:iCs/>
          <w:color w:val="666666"/>
          <w:sz w:val="20"/>
          <w:szCs w:val="20"/>
        </w:rPr>
        <w:t xml:space="preserve">Provide link to publicly available policy or indicate availability</w:t>
      </w:r>
    </w:p>
    <w:p>
      <w:pPr>
        <w:pStyle w:val="Heading2"/>
      </w:pPr>
      <w:r>
        <w:t xml:space="preserve">SECTION 5: SUPPLY CHAIN MANAGEMENT</w:t>
      </w:r>
    </w:p>
    <w:p>
      <w:pPr>
        <w:spacing w:before="240" w:after="120"/>
        <w:ind w:left="360"/>
      </w:pPr>
      <w:r>
        <w:rPr>
          <w:b/>
          <w:bCs/>
          <w:color w:val="2E5C8A"/>
        </w:rPr>
        <w:t xml:space="preserve">5.1</w:t>
      </w:r>
      <w:r>
        <w:t xml:space="preserve">  </w:t>
      </w:r>
      <w:r>
        <w:rPr>
          <w:b/>
          <w:bCs/>
        </w:rPr>
        <w:t xml:space="preserve">Sub-contractor Engagement</w:t>
      </w:r>
    </w:p>
    <w:p>
      <w:pPr>
        <w:pBdr>
          <w:bottom w:val="single" w:color="CCCCCC" w:sz="6" w:space="1"/>
        </w:pBdr>
        <w:spacing w:before="80" w:after="80"/>
        <w:ind w:left="720"/>
      </w:pPr>
      <w:r>
        <w:t>Yes. We engage carefully selected sub-processors to provide specific infrastructure and ancillary services. All sub-processors are contractually bound to standards equivalent to or exceeding those we commit to our customers.</w:t>
      </w:r>
    </w:p>
    <w:p>
      <w:pPr>
        <w:spacing w:after="120"/>
        <w:ind w:left="720"/>
      </w:pPr>
      <w:r>
        <w:rPr>
          <w:i/>
          <w:iCs/>
          <w:color w:val="666666"/>
          <w:sz w:val="20"/>
          <w:szCs w:val="20"/>
        </w:rPr>
        <w:t xml:space="preserve">Confirm whether sub-contractors will be used (Yes/No)</w:t>
      </w:r>
    </w:p>
    <w:p>
      <w:pPr>
        <w:spacing w:before="240" w:after="120"/>
        <w:ind w:left="360"/>
      </w:pPr>
      <w:r>
        <w:rPr>
          <w:b/>
          <w:bCs/>
          <w:color w:val="2E5C8A"/>
        </w:rPr>
        <w:t xml:space="preserve">5.2</w:t>
      </w:r>
      <w:r>
        <w:t xml:space="preserve">  </w:t>
      </w:r>
      <w:r>
        <w:rPr>
          <w:b/>
          <w:bCs/>
        </w:rPr>
        <w:t xml:space="preserve">Sub-contractor Details</w:t>
      </w:r>
    </w:p>
    <w:p>
      <w:pPr>
        <w:pBdr>
          <w:bottom w:val="single" w:color="CCCCCC" w:sz="6" w:space="1"/>
        </w:pBdr>
        <w:spacing w:before="80" w:after="80"/>
        <w:ind w:left="720"/>
      </w:pPr>
      <w:r>
        <w:t>1) Amazon Web Services EMEA SARL — Cloud infrastructure hosting, London and Dublin data centres, hosts all customer data. 2) Zendesk, Inc. — Customer support ticket management, EU data centres (Frankfurt). 3) SendGrid (Twilio Inc.) — Transactional email delivery, EU-based infrastructure. 4) Stripe Payments Europe, Ltd. — Payment processing, EEA operations. All hold ISO 27001 and/or SOC 2 certifications. Full list at www.techvendor.com/sub-processors.</w:t>
      </w:r>
    </w:p>
    <w:p>
      <w:pPr>
        <w:pBdr>
          <w:bottom w:val="single" w:color="CCCCCC" w:sz="6" w:space="1"/>
        </w:pBdr>
        <w:spacing w:before="80" w:after="80"/>
        <w:ind w:left="720"/>
      </w:pPr>
      <w:r>
        <w:rPr>
          <w:sz w:val="24"/>
          <w:szCs w:val="24"/>
        </w:rPr>
        <w:t xml:space="preserve"> </w:t>
      </w:r>
    </w:p>
    <w:p>
      <w:pPr>
        <w:pBdr>
          <w:bottom w:val="single" w:color="CCCCCC" w:sz="6" w:space="1"/>
        </w:pBdr>
        <w:spacing w:before="80" w:after="80"/>
        <w:ind w:left="720"/>
      </w:pPr>
      <w:r>
        <w:rPr>
          <w:sz w:val="24"/>
          <w:szCs w:val="24"/>
        </w:rPr>
        <w:t xml:space="preserve"> </w:t>
      </w:r>
    </w:p>
    <w:p>
      <w:pPr>
        <w:pBdr>
          <w:bottom w:val="single" w:color="CCCCCC" w:sz="6" w:space="1"/>
        </w:pBdr>
        <w:spacing w:before="80" w:after="80"/>
        <w:ind w:left="720"/>
      </w:pPr>
      <w:r>
        <w:rPr>
          <w:sz w:val="24"/>
          <w:szCs w:val="24"/>
        </w:rPr>
        <w:t xml:space="preserve"> </w:t>
      </w:r>
    </w:p>
    <w:p>
      <w:pPr>
        <w:spacing w:after="120"/>
        <w:ind w:left="720"/>
      </w:pPr>
      <w:r>
        <w:rPr>
          <w:i/>
          <w:iCs/>
          <w:color w:val="666666"/>
          <w:sz w:val="20"/>
          <w:szCs w:val="20"/>
        </w:rPr>
        <w:t xml:space="preserve">For each sub-contractor: name, role, location, data processing activities</w:t>
      </w:r>
    </w:p>
    <w:p>
      <w:pPr>
        <w:spacing w:before="240" w:after="120"/>
        <w:ind w:left="360"/>
      </w:pPr>
      <w:r>
        <w:rPr>
          <w:b/>
          <w:bCs/>
          <w:color w:val="2E5C8A"/>
        </w:rPr>
        <w:t xml:space="preserve">5.3</w:t>
      </w:r>
      <w:r>
        <w:t xml:space="preserve">  </w:t>
      </w:r>
      <w:r>
        <w:rPr>
          <w:b/>
          <w:bCs/>
        </w:rPr>
        <w:t xml:space="preserve">Sub-contractor Governance</w:t>
      </w:r>
    </w:p>
    <w:p>
      <w:pPr>
        <w:pBdr>
          <w:bottom w:val="single" w:color="CCCCCC" w:sz="6" w:space="1"/>
        </w:pBdr>
        <w:spacing w:before="80" w:after="80"/>
        <w:ind w:left="720"/>
      </w:pPr>
      <w:r>
        <w:t>Due Diligence: Comprehensive security and privacy assessment, certification review, financial stability assessment, reference checks, and legal compliance verification before engagement. Contractual Protections: Data Processing Agreements, security standards, audit rights, liability provisions, and termination rights for material breach. Ongoing Monitoring: Annual certification review, incident monitoring, SOC 2 report review, performance tracking. Sub-processors must notify us of security incidents within 24 hours.</w:t>
      </w:r>
    </w:p>
    <w:p>
      <w:pPr>
        <w:pBdr>
          <w:bottom w:val="single" w:color="CCCCCC" w:sz="6" w:space="1"/>
        </w:pBdr>
        <w:spacing w:before="80" w:after="80"/>
        <w:ind w:left="720"/>
      </w:pPr>
      <w:r>
        <w:rPr>
          <w:sz w:val="24"/>
          <w:szCs w:val="24"/>
        </w:rPr>
        <w:t xml:space="preserve"> </w:t>
      </w:r>
    </w:p>
    <w:p>
      <w:pPr>
        <w:pBdr>
          <w:bottom w:val="single" w:color="CCCCCC" w:sz="6" w:space="1"/>
        </w:pBdr>
        <w:spacing w:before="80" w:after="80"/>
        <w:ind w:left="720"/>
      </w:pPr>
      <w:r>
        <w:rPr>
          <w:sz w:val="24"/>
          <w:szCs w:val="24"/>
        </w:rPr>
        <w:t xml:space="preserve"> </w:t>
      </w:r>
    </w:p>
    <w:p>
      <w:pPr>
        <w:spacing w:after="120"/>
        <w:ind w:left="720"/>
      </w:pPr>
      <w:r>
        <w:rPr>
          <w:i/>
          <w:iCs/>
          <w:color w:val="666666"/>
          <w:sz w:val="20"/>
          <w:szCs w:val="20"/>
        </w:rPr>
        <w:t xml:space="preserve">Due diligence process, contractual protections, monitoring arrangements</w:t>
      </w:r>
    </w:p>
    <w:p>
      <w:pPr>
        <w:spacing w:before="240" w:after="120"/>
        <w:ind w:left="360"/>
      </w:pPr>
      <w:r>
        <w:rPr>
          <w:b/>
          <w:bCs/>
          <w:color w:val="2E5C8A"/>
        </w:rPr>
        <w:t xml:space="preserve">5.4</w:t>
      </w:r>
      <w:r>
        <w:t xml:space="preserve">  </w:t>
      </w:r>
      <w:r>
        <w:rPr>
          <w:b/>
          <w:bCs/>
        </w:rPr>
        <w:t xml:space="preserve">Approval Process for New Sub-contractors</w:t>
      </w:r>
    </w:p>
    <w:p>
      <w:pPr>
        <w:pBdr>
          <w:bottom w:val="single" w:color="CCCCCC" w:sz="6" w:space="1"/>
        </w:pBdr>
        <w:spacing w:before="80" w:after="80"/>
        <w:ind w:left="720"/>
      </w:pPr>
      <w:r>
        <w:t>General authorisation model for listed sub-processors (pre-approved on our website). For new sub-processors: minimum 30 days advance written notice including name, location, services, and data processing activities. Customers may object on reasonable data protection grounds. Customer may terminate if concerns cannot be resolved. Urgent deployments may have shorter notice with retrospective justification.</w:t>
      </w:r>
    </w:p>
    <w:p>
      <w:pPr>
        <w:pBdr>
          <w:bottom w:val="single" w:color="CCCCCC" w:sz="6" w:space="1"/>
        </w:pBdr>
        <w:spacing w:before="80" w:after="80"/>
        <w:ind w:left="720"/>
      </w:pPr>
      <w:r>
        <w:rPr>
          <w:sz w:val="24"/>
          <w:szCs w:val="24"/>
        </w:rPr>
        <w:t xml:space="preserve"> </w:t>
      </w:r>
    </w:p>
    <w:p>
      <w:pPr>
        <w:spacing w:after="120"/>
        <w:ind w:left="720"/>
      </w:pPr>
      <w:r>
        <w:rPr>
          <w:i/>
          <w:iCs/>
          <w:color w:val="666666"/>
          <w:sz w:val="20"/>
          <w:szCs w:val="20"/>
        </w:rPr>
        <w:t xml:space="preserve">Describe notification requirements and approval timeline</w:t>
      </w:r>
    </w:p>
    <w:p>
      <w:pPr>
        <w:pStyle w:val="Heading2"/>
      </w:pPr>
      <w:r>
        <w:t xml:space="preserve">SECTION 6: FINANCIAL STANDING &amp; INSURANCE</w:t>
      </w:r>
    </w:p>
    <w:p>
      <w:pPr>
        <w:spacing w:before="240" w:after="120"/>
        <w:ind w:left="360"/>
      </w:pPr>
      <w:r>
        <w:rPr>
          <w:b/>
          <w:bCs/>
          <w:color w:val="2E5C8A"/>
        </w:rPr>
        <w:t xml:space="preserve">6.1</w:t>
      </w:r>
      <w:r>
        <w:t xml:space="preserve">  </w:t>
      </w:r>
      <w:r>
        <w:rPr>
          <w:b/>
          <w:bCs/>
        </w:rPr>
        <w:t xml:space="preserve">Insurance Coverage</w:t>
      </w:r>
    </w:p>
    <w:p>
      <w:pPr>
        <w:pBdr>
          <w:bottom w:val="single" w:color="CCCCCC" w:sz="6" w:space="1"/>
        </w:pBdr>
        <w:spacing w:before="80" w:after="80"/>
        <w:ind w:left="720"/>
      </w:pPr>
      <w:r>
        <w:t>Professional Indemnity: £5M per claim, £10M annual aggregate, expiry 31 March 2026. Cyber Liability and Data Breach: £10M per occurrence, includes forensic investigation, notification costs, and regulatory fines. Public Liability: £5M per occurrence. Employers' Liability: £10M (statutory). All policies renew annually. Certificates available upon request.</w:t>
      </w:r>
    </w:p>
    <w:p>
      <w:pPr>
        <w:pBdr>
          <w:bottom w:val="single" w:color="CCCCCC" w:sz="6" w:space="1"/>
        </w:pBdr>
        <w:spacing w:before="80" w:after="80"/>
        <w:ind w:left="720"/>
      </w:pPr>
      <w:r>
        <w:rPr>
          <w:sz w:val="24"/>
          <w:szCs w:val="24"/>
        </w:rPr>
        <w:t xml:space="preserve"> </w:t>
      </w:r>
    </w:p>
    <w:p>
      <w:pPr>
        <w:pBdr>
          <w:bottom w:val="single" w:color="CCCCCC" w:sz="6" w:space="1"/>
        </w:pBdr>
        <w:spacing w:before="80" w:after="80"/>
        <w:ind w:left="720"/>
      </w:pPr>
      <w:r>
        <w:rPr>
          <w:sz w:val="24"/>
          <w:szCs w:val="24"/>
        </w:rPr>
        <w:t xml:space="preserve"> </w:t>
      </w:r>
    </w:p>
    <w:p>
      <w:pPr>
        <w:pBdr>
          <w:bottom w:val="single" w:color="CCCCCC" w:sz="6" w:space="1"/>
        </w:pBdr>
        <w:spacing w:before="80" w:after="80"/>
        <w:ind w:left="720"/>
      </w:pPr>
      <w:r>
        <w:rPr>
          <w:sz w:val="24"/>
          <w:szCs w:val="24"/>
        </w:rPr>
        <w:t xml:space="preserve"> </w:t>
      </w:r>
    </w:p>
    <w:p>
      <w:pPr>
        <w:spacing w:after="120"/>
        <w:ind w:left="720"/>
      </w:pPr>
      <w:r>
        <w:rPr>
          <w:i/>
          <w:iCs/>
          <w:color w:val="666666"/>
          <w:sz w:val="20"/>
          <w:szCs w:val="20"/>
        </w:rPr>
        <w:t xml:space="preserve">Professional indemnity, cyber liability, public liability, employers' liability - provide policy limits and expiry dates</w:t>
      </w:r>
    </w:p>
    <w:p>
      <w:pPr>
        <w:spacing w:before="240" w:after="120"/>
        <w:ind w:left="360"/>
      </w:pPr>
      <w:r>
        <w:rPr>
          <w:b/>
          <w:bCs/>
          <w:color w:val="2E5C8A"/>
        </w:rPr>
        <w:t xml:space="preserve">6.2</w:t>
      </w:r>
      <w:r>
        <w:t xml:space="preserve">  </w:t>
      </w:r>
      <w:r>
        <w:rPr>
          <w:b/>
          <w:bCs/>
        </w:rPr>
        <w:t xml:space="preserve">Financial Statements</w:t>
      </w:r>
    </w:p>
    <w:p>
      <w:pPr>
        <w:pBdr>
          <w:bottom w:val="single" w:color="CCCCCC" w:sz="6" w:space="1"/>
        </w:pBdr>
        <w:spacing w:before="80" w:after="80"/>
        <w:ind w:left="720"/>
      </w:pPr>
      <w:r>
        <w:t>Audited financial statements (FY 2023) available under mutual confidentiality agreement. Key highlights: Revenue £6.1M (42% YoY growth), positive EBITDA, strong cash position, nil debt, going concern confirmed by auditors. Audit opinion: Unqualified (clean). Management accounts available to Enterprise customers under NDA.</w:t>
      </w:r>
    </w:p>
    <w:p>
      <w:pPr>
        <w:spacing w:after="120"/>
        <w:ind w:left="720"/>
      </w:pPr>
      <w:r>
        <w:rPr>
          <w:i/>
          <w:iCs/>
          <w:color w:val="666666"/>
          <w:sz w:val="20"/>
          <w:szCs w:val="20"/>
        </w:rPr>
        <w:t xml:space="preserve">Confirm availability of most recent audited accounts</w:t>
      </w:r>
    </w:p>
    <w:p>
      <w:pPr>
        <w:spacing w:before="240" w:after="120"/>
        <w:ind w:left="360"/>
      </w:pPr>
      <w:r>
        <w:rPr>
          <w:b/>
          <w:bCs/>
          <w:color w:val="2E5C8A"/>
        </w:rPr>
        <w:t xml:space="preserve">6.3</w:t>
      </w:r>
      <w:r>
        <w:t xml:space="preserve">  </w:t>
      </w:r>
      <w:r>
        <w:rPr>
          <w:b/>
          <w:bCs/>
        </w:rPr>
        <w:t xml:space="preserve">Credit Rating (if applicable)</w:t>
      </w:r>
    </w:p>
    <w:p>
      <w:pPr>
        <w:pBdr>
          <w:bottom w:val="single" w:color="CCCCCC" w:sz="6" w:space="1"/>
        </w:pBdr>
        <w:spacing w:before="80" w:after="80"/>
        <w:ind w:left="720"/>
      </w:pPr>
      <w:r>
        <w:t>As a private limited company, no formal credit rating from major agencies. Third-party reports available: Dun and Bradstreet, Experian business credit score, Companies House filing history (all up to date). Bank reference letters and trade references available. No late payments or defaults on record.</w:t>
      </w:r>
    </w:p>
    <w:p>
      <w:pPr>
        <w:spacing w:before="240" w:after="120"/>
        <w:ind w:left="360"/>
      </w:pPr>
      <w:r>
        <w:rPr>
          <w:b/>
          <w:bCs/>
          <w:color w:val="2E5C8A"/>
        </w:rPr>
        <w:t xml:space="preserve">6.4</w:t>
      </w:r>
      <w:r>
        <w:t xml:space="preserve">  </w:t>
      </w:r>
      <w:r>
        <w:rPr>
          <w:b/>
          <w:bCs/>
        </w:rPr>
        <w:t xml:space="preserve">Insolvency or Financial Distress</w:t>
      </w:r>
    </w:p>
    <w:p>
      <w:pPr>
        <w:pBdr>
          <w:bottom w:val="single" w:color="CCCCCC" w:sz="6" w:space="1"/>
        </w:pBdr>
        <w:spacing w:before="80" w:after="80"/>
        <w:ind w:left="720"/>
      </w:pPr>
      <w:r>
        <w:t>No. We have never been subject to administration, receivership, voluntary arrangements, winding up petitions, or insolvency proceedings of any kind. Financial position is strong with positive cash flow, no debt, and sustained revenue growth.</w:t>
      </w:r>
    </w:p>
    <w:p>
      <w:pPr>
        <w:pBdr>
          <w:bottom w:val="single" w:color="CCCCCC" w:sz="6" w:space="1"/>
        </w:pBdr>
        <w:spacing w:before="80" w:after="80"/>
        <w:ind w:left="720"/>
      </w:pPr>
      <w:r>
        <w:rPr>
          <w:sz w:val="24"/>
          <w:szCs w:val="24"/>
        </w:rPr>
        <w:t xml:space="preserve"> </w:t>
      </w:r>
    </w:p>
    <w:p>
      <w:pPr>
        <w:spacing w:after="120"/>
        <w:ind w:left="720"/>
      </w:pPr>
      <w:r>
        <w:rPr>
          <w:i/>
          <w:iCs/>
          <w:color w:val="666666"/>
          <w:sz w:val="20"/>
          <w:szCs w:val="20"/>
        </w:rPr>
        <w:t xml:space="preserve">Confirm whether organisation has been subject to insolvency proceedings in last five years</w:t>
      </w:r>
    </w:p>
    <w:p>
      <w:pPr>
        <w:pStyle w:val="Heading2"/>
      </w:pPr>
      <w:r>
        <w:t xml:space="preserve">SECTION 7: SERVICE DELIVERY &amp; QUALITY</w:t>
      </w:r>
    </w:p>
    <w:p>
      <w:pPr>
        <w:spacing w:before="240" w:after="120"/>
        <w:ind w:left="360"/>
      </w:pPr>
      <w:r>
        <w:rPr>
          <w:b/>
          <w:bCs/>
          <w:color w:val="2E5C8A"/>
        </w:rPr>
        <w:t xml:space="preserve">7.1</w:t>
      </w:r>
      <w:r>
        <w:t xml:space="preserve">  </w:t>
      </w:r>
      <w:r>
        <w:rPr>
          <w:b/>
          <w:bCs/>
        </w:rPr>
        <w:t xml:space="preserve">Service Level Commitments</w:t>
      </w:r>
    </w:p>
    <w:p>
      <w:pPr>
        <w:pBdr>
          <w:bottom w:val="single" w:color="CCCCCC" w:sz="6" w:space="1"/>
        </w:pBdr>
        <w:spacing w:before="80" w:after="80"/>
        <w:ind w:left="720"/>
      </w:pPr>
      <w:r>
        <w:t>Standard SLA: 99.5% monthly availability, support Monday-Friday 9am-6pm UK time, response times from 4 hours (critical) to 2 business days (low priority). Enterprise SLA: 99.9% availability with service credits, 24/7/365 support with emergency hotline, response times from 1 hour (critical) to 8 hours (low priority), dedicated account manager.</w:t>
      </w:r>
    </w:p>
    <w:p>
      <w:pPr>
        <w:pBdr>
          <w:bottom w:val="single" w:color="CCCCCC" w:sz="6" w:space="1"/>
        </w:pBdr>
        <w:spacing w:before="80" w:after="80"/>
        <w:ind w:left="720"/>
      </w:pPr>
      <w:r>
        <w:rPr>
          <w:sz w:val="24"/>
          <w:szCs w:val="24"/>
        </w:rPr>
        <w:t xml:space="preserve"> </w:t>
      </w:r>
    </w:p>
    <w:p>
      <w:pPr>
        <w:pBdr>
          <w:bottom w:val="single" w:color="CCCCCC" w:sz="6" w:space="1"/>
        </w:pBdr>
        <w:spacing w:before="80" w:after="80"/>
        <w:ind w:left="720"/>
      </w:pPr>
      <w:r>
        <w:rPr>
          <w:sz w:val="24"/>
          <w:szCs w:val="24"/>
        </w:rPr>
        <w:t xml:space="preserve"> </w:t>
      </w:r>
    </w:p>
    <w:p>
      <w:pPr>
        <w:pBdr>
          <w:bottom w:val="single" w:color="CCCCCC" w:sz="6" w:space="1"/>
        </w:pBdr>
        <w:spacing w:before="80" w:after="80"/>
        <w:ind w:left="720"/>
      </w:pPr>
      <w:r>
        <w:rPr>
          <w:sz w:val="24"/>
          <w:szCs w:val="24"/>
        </w:rPr>
        <w:t xml:space="preserve"> </w:t>
      </w:r>
    </w:p>
    <w:p>
      <w:pPr>
        <w:spacing w:after="120"/>
        <w:ind w:left="720"/>
      </w:pPr>
      <w:r>
        <w:rPr>
          <w:i/>
          <w:iCs/>
          <w:color w:val="666666"/>
          <w:sz w:val="20"/>
          <w:szCs w:val="20"/>
        </w:rPr>
        <w:t xml:space="preserve">Uptime guarantees, response times, resolution times, availability</w:t>
      </w:r>
    </w:p>
    <w:p>
      <w:pPr>
        <w:spacing w:before="240" w:after="120"/>
        <w:ind w:left="360"/>
      </w:pPr>
      <w:r>
        <w:rPr>
          <w:b/>
          <w:bCs/>
          <w:color w:val="2E5C8A"/>
        </w:rPr>
        <w:t xml:space="preserve">7.2</w:t>
      </w:r>
      <w:r>
        <w:t xml:space="preserve">  </w:t>
      </w:r>
      <w:r>
        <w:rPr>
          <w:b/>
          <w:bCs/>
        </w:rPr>
        <w:t xml:space="preserve">Performance Measurement and Reporting</w:t>
      </w:r>
    </w:p>
    <w:p>
      <w:pPr>
        <w:pBdr>
          <w:bottom w:val="single" w:color="CCCCCC" w:sz="6" w:space="1"/>
        </w:pBdr>
        <w:spacing w:before="80" w:after="80"/>
        <w:ind w:left="720"/>
      </w:pPr>
      <w:r>
        <w:t>Real-time public status dashboard at status.techvendor.com. Third-party uptime verification. Monthly service performance reports to all customers with SLA compliance metrics, incident summaries, and support statistics. Enterprise customers receive quarterly business reviews with custom dashboards and trend analysis. Service credits automatically calculated and applied for SLA breaches.</w:t>
      </w:r>
    </w:p>
    <w:p>
      <w:pPr>
        <w:pBdr>
          <w:bottom w:val="single" w:color="CCCCCC" w:sz="6" w:space="1"/>
        </w:pBdr>
        <w:spacing w:before="80" w:after="80"/>
        <w:ind w:left="720"/>
      </w:pPr>
      <w:r>
        <w:rPr>
          <w:sz w:val="24"/>
          <w:szCs w:val="24"/>
        </w:rPr>
        <w:t xml:space="preserve"> </w:t>
      </w:r>
    </w:p>
    <w:p>
      <w:pPr>
        <w:pBdr>
          <w:bottom w:val="single" w:color="CCCCCC" w:sz="6" w:space="1"/>
        </w:pBdr>
        <w:spacing w:before="80" w:after="80"/>
        <w:ind w:left="720"/>
      </w:pPr>
      <w:r>
        <w:rPr>
          <w:sz w:val="24"/>
          <w:szCs w:val="24"/>
        </w:rPr>
        <w:t xml:space="preserve"> </w:t>
      </w:r>
    </w:p>
    <w:p>
      <w:pPr>
        <w:spacing w:before="240" w:after="120"/>
        <w:ind w:left="360"/>
      </w:pPr>
      <w:r>
        <w:rPr>
          <w:b/>
          <w:bCs/>
          <w:color w:val="2E5C8A"/>
        </w:rPr>
        <w:t xml:space="preserve">7.3</w:t>
      </w:r>
      <w:r>
        <w:t xml:space="preserve">  </w:t>
      </w:r>
      <w:r>
        <w:rPr>
          <w:b/>
          <w:bCs/>
        </w:rPr>
        <w:t xml:space="preserve">Support Arrangements</w:t>
      </w:r>
    </w:p>
    <w:p>
      <w:pPr>
        <w:pBdr>
          <w:bottom w:val="single" w:color="CCCCCC" w:sz="6" w:space="1"/>
        </w:pBdr>
        <w:spacing w:before="80" w:after="80"/>
        <w:ind w:left="720"/>
      </w:pPr>
      <w:r>
        <w:t>Standard Support: Monday-Friday 9am-6pm UK time via email (support@techvendor.com), in-app chat, support portal, and knowledge base. Escalation: L1 Support Analyst, L2 Senior Support Engineer, L3 Product Engineering, L4 Head of Support + CTO. Enterprise Support: 24/7/365 with emergency hotline (+44 (0)118 999 8888), dedicated Slack channel, direct account manager access, and proactive platform health reviews.</w:t>
      </w:r>
    </w:p>
    <w:p>
      <w:pPr>
        <w:pBdr>
          <w:bottom w:val="single" w:color="CCCCCC" w:sz="6" w:space="1"/>
        </w:pBdr>
        <w:spacing w:before="80" w:after="80"/>
        <w:ind w:left="720"/>
      </w:pPr>
      <w:r>
        <w:rPr>
          <w:sz w:val="24"/>
          <w:szCs w:val="24"/>
        </w:rPr>
        <w:t xml:space="preserve"> </w:t>
      </w:r>
    </w:p>
    <w:p>
      <w:pPr>
        <w:pBdr>
          <w:bottom w:val="single" w:color="CCCCCC" w:sz="6" w:space="1"/>
        </w:pBdr>
        <w:spacing w:before="80" w:after="80"/>
        <w:ind w:left="720"/>
      </w:pPr>
      <w:r>
        <w:rPr>
          <w:sz w:val="24"/>
          <w:szCs w:val="24"/>
        </w:rPr>
        <w:t xml:space="preserve"> </w:t>
      </w:r>
    </w:p>
    <w:p>
      <w:pPr>
        <w:spacing w:after="120"/>
        <w:ind w:left="720"/>
      </w:pPr>
      <w:r>
        <w:rPr>
          <w:i/>
          <w:iCs/>
          <w:color w:val="666666"/>
          <w:sz w:val="20"/>
          <w:szCs w:val="20"/>
        </w:rPr>
        <w:t xml:space="preserve">Support hours, channels, escalation procedures, emergency contacts</w:t>
      </w:r>
    </w:p>
    <w:p>
      <w:pPr>
        <w:spacing w:before="240" w:after="120"/>
        <w:ind w:left="360"/>
      </w:pPr>
      <w:r>
        <w:rPr>
          <w:b/>
          <w:bCs/>
          <w:color w:val="2E5C8A"/>
        </w:rPr>
        <w:t xml:space="preserve">7.4</w:t>
      </w:r>
      <w:r>
        <w:t xml:space="preserve">  </w:t>
      </w:r>
      <w:r>
        <w:rPr>
          <w:b/>
          <w:bCs/>
        </w:rPr>
        <w:t xml:space="preserve">Change Management Process</w:t>
      </w:r>
    </w:p>
    <w:p>
      <w:pPr>
        <w:pBdr>
          <w:bottom w:val="single" w:color="CCCCCC" w:sz="6" w:space="1"/>
        </w:pBdr>
        <w:spacing w:before="80" w:after="80"/>
        <w:ind w:left="720"/>
      </w:pPr>
      <w:r>
        <w:t>Planned Maintenance: Minimum 7 days notice via email and status page, scheduled during low-usage windows (Sunday 2am-6am UK). Change Advisory Board reviews all changes. Continuous Deployment: Minor updates deployed with zero downtime, automatic rollback on error. Major Features: 30 days advance notice, beta testing, migration guides, training webinars. Emergency Changes: Security patches deployed immediately with 24-hour post-notification. All changes documented at www.techvendor.com/changelog.</w:t>
      </w:r>
    </w:p>
    <w:p>
      <w:pPr>
        <w:pBdr>
          <w:bottom w:val="single" w:color="CCCCCC" w:sz="6" w:space="1"/>
        </w:pBdr>
        <w:spacing w:before="80" w:after="80"/>
        <w:ind w:left="720"/>
      </w:pPr>
      <w:r>
        <w:rPr>
          <w:sz w:val="24"/>
          <w:szCs w:val="24"/>
        </w:rPr>
        <w:t xml:space="preserve"> </w:t>
      </w:r>
    </w:p>
    <w:p>
      <w:pPr>
        <w:pBdr>
          <w:bottom w:val="single" w:color="CCCCCC" w:sz="6" w:space="1"/>
        </w:pBdr>
        <w:spacing w:before="80" w:after="80"/>
        <w:ind w:left="720"/>
      </w:pPr>
      <w:r>
        <w:rPr>
          <w:sz w:val="24"/>
          <w:szCs w:val="24"/>
        </w:rPr>
        <w:t xml:space="preserve"> </w:t>
      </w:r>
    </w:p>
    <w:p>
      <w:pPr>
        <w:spacing w:after="120"/>
        <w:ind w:left="720"/>
      </w:pPr>
      <w:r>
        <w:rPr>
          <w:i/>
          <w:iCs/>
          <w:color w:val="666666"/>
          <w:sz w:val="20"/>
          <w:szCs w:val="20"/>
        </w:rPr>
        <w:t xml:space="preserve">How service changes are communicated, tested, and implemented</w:t>
      </w:r>
    </w:p>
    <w:p>
      <w:pPr>
        <w:spacing w:before="240" w:after="120"/>
        <w:ind w:left="360"/>
      </w:pPr>
      <w:r>
        <w:rPr>
          <w:b/>
          <w:bCs/>
          <w:color w:val="2E5C8A"/>
        </w:rPr>
        <w:t xml:space="preserve">7.5</w:t>
      </w:r>
      <w:r>
        <w:t xml:space="preserve">  </w:t>
      </w:r>
      <w:r>
        <w:rPr>
          <w:b/>
          <w:bCs/>
        </w:rPr>
        <w:t xml:space="preserve">Client References</w:t>
      </w:r>
    </w:p>
    <w:p>
      <w:pPr>
        <w:pBdr>
          <w:bottom w:val="single" w:color="CCCCCC" w:sz="6" w:space="1"/>
        </w:pBdr>
        <w:spacing w:before="80" w:after="80"/>
        <w:ind w:left="720"/>
      </w:pPr>
      <w:r>
        <w:t>Reference 1: LegalCorp International Ltd (Law Firm) — Jane Smith, General Counsel, jane.smith@legalcorp.com, +44 (0)20 1234 5678, 3-year relationship, 200+ users. Reference 2: FinServices Group plc (Financial Services) — David Jones, Head of Legal Operations, d.jones@finservices.co.uk, +44 (0)20 9876 5432, 2-year relationship, 500+ users. Reference 3: MedTech Innovations Ltd (Healthcare Technology) — Dr. Sarah Williams, CLO, s.williams@medtechinnovations.com, +44 (0)161 234 5678, 18-month relationship, 75 users.</w:t>
      </w:r>
    </w:p>
    <w:p>
      <w:pPr>
        <w:pBdr>
          <w:bottom w:val="single" w:color="CCCCCC" w:sz="6" w:space="1"/>
        </w:pBdr>
        <w:spacing w:before="80" w:after="80"/>
        <w:ind w:left="720"/>
      </w:pPr>
      <w:r>
        <w:rPr>
          <w:sz w:val="24"/>
          <w:szCs w:val="24"/>
        </w:rPr>
        <w:t xml:space="preserve"> </w:t>
      </w:r>
    </w:p>
    <w:p>
      <w:pPr>
        <w:pBdr>
          <w:bottom w:val="single" w:color="CCCCCC" w:sz="6" w:space="1"/>
        </w:pBdr>
        <w:spacing w:before="80" w:after="80"/>
        <w:ind w:left="720"/>
      </w:pPr>
      <w:r>
        <w:rPr>
          <w:sz w:val="24"/>
          <w:szCs w:val="24"/>
        </w:rPr>
        <w:t xml:space="preserve"> </w:t>
      </w:r>
    </w:p>
    <w:p>
      <w:pPr>
        <w:spacing w:after="120"/>
        <w:ind w:left="720"/>
      </w:pPr>
      <w:r>
        <w:rPr>
          <w:i/>
          <w:iCs/>
          <w:color w:val="666666"/>
          <w:sz w:val="20"/>
          <w:szCs w:val="20"/>
        </w:rPr>
        <w:t xml:space="preserve">Provide at least two references from similar organisations (name, contact, duration of relationship)</w:t>
      </w:r>
    </w:p>
    <w:p>
      <w:pPr>
        <w:pStyle w:val="Heading2"/>
      </w:pPr>
      <w:r>
        <w:t xml:space="preserve">SECTION 8: ENVIRONMENTAL, SOCIAL &amp; GOVERNANCE</w:t>
      </w:r>
    </w:p>
    <w:p>
      <w:pPr>
        <w:spacing w:before="240" w:after="120"/>
        <w:ind w:left="360"/>
      </w:pPr>
      <w:r>
        <w:rPr>
          <w:b/>
          <w:bCs/>
          <w:color w:val="2E5C8A"/>
        </w:rPr>
        <w:t xml:space="preserve">8.1</w:t>
      </w:r>
      <w:r>
        <w:t xml:space="preserve">  </w:t>
      </w:r>
      <w:r>
        <w:rPr>
          <w:b/>
          <w:bCs/>
        </w:rPr>
        <w:t xml:space="preserve">Environmental Policy and Carbon Commitments</w:t>
      </w:r>
    </w:p>
    <w:p>
      <w:pPr>
        <w:pBdr>
          <w:bottom w:val="single" w:color="CCCCCC" w:sz="6" w:space="1"/>
        </w:pBdr>
        <w:spacing w:before="80" w:after="80"/>
        <w:ind w:left="720"/>
      </w:pPr>
      <w:r>
        <w:t>Net Zero target by 2030 with science-based targets. 100% renewable energy for all offices (achieved 2023). Carbon neutral operations since 2023. Remote-first work policy reducing commuting emissions approximately 80%. Annual greenhouse gas assessment (Scope 1, 2, and 3). Environmental policy published at www.techvendor.com/sustainability.</w:t>
      </w:r>
    </w:p>
    <w:p>
      <w:pPr>
        <w:pBdr>
          <w:bottom w:val="single" w:color="CCCCCC" w:sz="6" w:space="1"/>
        </w:pBdr>
        <w:spacing w:before="80" w:after="80"/>
        <w:ind w:left="720"/>
      </w:pPr>
      <w:r>
        <w:rPr>
          <w:sz w:val="24"/>
          <w:szCs w:val="24"/>
        </w:rPr>
        <w:t xml:space="preserve"> </w:t>
      </w:r>
    </w:p>
    <w:p>
      <w:pPr>
        <w:pBdr>
          <w:bottom w:val="single" w:color="CCCCCC" w:sz="6" w:space="1"/>
        </w:pBdr>
        <w:spacing w:before="80" w:after="80"/>
        <w:ind w:left="720"/>
      </w:pPr>
      <w:r>
        <w:rPr>
          <w:sz w:val="24"/>
          <w:szCs w:val="24"/>
        </w:rPr>
        <w:t xml:space="preserve"> </w:t>
      </w:r>
    </w:p>
    <w:p>
      <w:pPr>
        <w:spacing w:before="240" w:after="120"/>
        <w:ind w:left="360"/>
      </w:pPr>
      <w:r>
        <w:rPr>
          <w:b/>
          <w:bCs/>
          <w:color w:val="2E5C8A"/>
        </w:rPr>
        <w:t xml:space="preserve">8.2</w:t>
      </w:r>
      <w:r>
        <w:t xml:space="preserve">  </w:t>
      </w:r>
      <w:r>
        <w:rPr>
          <w:b/>
          <w:bCs/>
        </w:rPr>
        <w:t xml:space="preserve">Environmental Certifications</w:t>
      </w:r>
    </w:p>
    <w:p>
      <w:pPr>
        <w:pBdr>
          <w:bottom w:val="single" w:color="CCCCCC" w:sz="6" w:space="1"/>
        </w:pBdr>
        <w:spacing w:before="80" w:after="80"/>
        <w:ind w:left="720"/>
      </w:pPr>
      <w:r>
        <w:t>Working towards ISO 14001 (target 2026) and B Corp certification (in assessment). Registered with Carbon Trust. Members of Tech Zero, SME Climate Hub, and Pledge to Net Zero. Featured in Tech Nation's Sustainable Tech 50 (2024) and Green Business Award finalist (2024).</w:t>
      </w:r>
    </w:p>
    <w:p>
      <w:pPr>
        <w:spacing w:after="120"/>
        <w:ind w:left="720"/>
      </w:pPr>
      <w:r>
        <w:rPr>
          <w:i/>
          <w:iCs/>
          <w:color w:val="666666"/>
          <w:sz w:val="20"/>
          <w:szCs w:val="20"/>
        </w:rPr>
        <w:t xml:space="preserve">ISO 14001, Carbon Trust, B Corp, or similar</w:t>
      </w:r>
    </w:p>
    <w:p>
      <w:pPr>
        <w:spacing w:before="240" w:after="120"/>
        <w:ind w:left="360"/>
      </w:pPr>
      <w:r>
        <w:rPr>
          <w:b/>
          <w:bCs/>
          <w:color w:val="2E5C8A"/>
        </w:rPr>
        <w:t xml:space="preserve">8.3</w:t>
      </w:r>
      <w:r>
        <w:t xml:space="preserve">  </w:t>
      </w:r>
      <w:r>
        <w:rPr>
          <w:b/>
          <w:bCs/>
        </w:rPr>
        <w:t xml:space="preserve">Diversity, Equity, and Inclusion</w:t>
      </w:r>
    </w:p>
    <w:p>
      <w:pPr>
        <w:pBdr>
          <w:bottom w:val="single" w:color="CCCCCC" w:sz="6" w:space="1"/>
        </w:pBdr>
        <w:spacing w:before="80" w:after="80"/>
        <w:ind w:left="720"/>
      </w:pPr>
      <w:r>
        <w:t>Workforce: 45% women, 65% women in leadership, 35% ethnic minority backgrounds, 12% LGBTQ+, 8% disclosed disability. Blind CV screening, diverse interview panels, no gender pay gap (third-party verified). Employee Resource Groups for Women in Tech, LGBTQ+ Allies, Ethnic Diversity Network, and Accessibility Champions. Enhanced parental leave (26 weeks full pay). Product meets WCAG 2.1 AA compliance. Annual diversity report at www.techvendor.com/diversity.</w:t>
      </w:r>
    </w:p>
    <w:p>
      <w:pPr>
        <w:pBdr>
          <w:bottom w:val="single" w:color="CCCCCC" w:sz="6" w:space="1"/>
        </w:pBdr>
        <w:spacing w:before="80" w:after="80"/>
        <w:ind w:left="720"/>
      </w:pPr>
      <w:r>
        <w:rPr>
          <w:sz w:val="24"/>
          <w:szCs w:val="24"/>
        </w:rPr>
        <w:t xml:space="preserve"> </w:t>
      </w:r>
    </w:p>
    <w:p>
      <w:pPr>
        <w:pBdr>
          <w:bottom w:val="single" w:color="CCCCCC" w:sz="6" w:space="1"/>
        </w:pBdr>
        <w:spacing w:before="80" w:after="80"/>
        <w:ind w:left="720"/>
      </w:pPr>
      <w:r>
        <w:rPr>
          <w:sz w:val="24"/>
          <w:szCs w:val="24"/>
        </w:rPr>
        <w:t xml:space="preserve"> </w:t>
      </w:r>
    </w:p>
    <w:p>
      <w:pPr>
        <w:spacing w:after="120"/>
        <w:ind w:left="720"/>
      </w:pPr>
      <w:r>
        <w:rPr>
          <w:i/>
          <w:iCs/>
          <w:color w:val="666666"/>
          <w:sz w:val="20"/>
          <w:szCs w:val="20"/>
        </w:rPr>
        <w:t xml:space="preserve">Policies, initiatives, metrics, and reporting</w:t>
      </w:r>
    </w:p>
    <w:p>
      <w:pPr>
        <w:spacing w:before="240" w:after="120"/>
        <w:ind w:left="360"/>
      </w:pPr>
      <w:r>
        <w:rPr>
          <w:b/>
          <w:bCs/>
          <w:color w:val="2E5C8A"/>
        </w:rPr>
        <w:t xml:space="preserve">8.4</w:t>
      </w:r>
      <w:r>
        <w:t xml:space="preserve">  </w:t>
      </w:r>
      <w:r>
        <w:rPr>
          <w:b/>
          <w:bCs/>
        </w:rPr>
        <w:t xml:space="preserve">Corporate Social Responsibility</w:t>
      </w:r>
    </w:p>
    <w:p>
      <w:pPr>
        <w:pBdr>
          <w:bottom w:val="single" w:color="CCCCCC" w:sz="6" w:space="1"/>
        </w:pBdr>
        <w:spacing w:before="80" w:after="80"/>
        <w:ind w:left="720"/>
      </w:pPr>
      <w:r>
        <w:t>Three-pillar CSR strategy: 1) Access to Justice — pro bono software for legal aid organisations, LawWorks partnership, £100K annual commitment. 2) Digital Skills and Education — 10% apprentices, school partnerships, 10 internships/year for underrepresented groups. 3) Community Investment — 1% revenue donated, employee-matched donations, 2 volunteer days/employee/year. 2024 Impact: £82K donated, 750 volunteer hours, 15 apprentices/interns, 8 pro bono clients. Annual CSR report at www.techvendor.com/csr.</w:t>
      </w:r>
    </w:p>
    <w:p>
      <w:pPr>
        <w:pBdr>
          <w:bottom w:val="single" w:color="CCCCCC" w:sz="6" w:space="1"/>
        </w:pBdr>
        <w:spacing w:before="80" w:after="80"/>
        <w:ind w:left="720"/>
      </w:pPr>
      <w:r>
        <w:rPr>
          <w:sz w:val="24"/>
          <w:szCs w:val="24"/>
        </w:rPr>
        <w:t xml:space="preserve"> </w:t>
      </w:r>
    </w:p>
    <w:p>
      <w:pPr>
        <w:pBdr>
          <w:bottom w:val="single" w:color="CCCCCC" w:sz="6" w:space="1"/>
        </w:pBdr>
        <w:spacing w:before="80" w:after="80"/>
        <w:ind w:left="720"/>
      </w:pPr>
      <w:r>
        <w:rPr>
          <w:sz w:val="24"/>
          <w:szCs w:val="24"/>
        </w:rPr>
        <w:t xml:space="preserve"> </w:t>
      </w:r>
    </w:p>
    <w:p>
      <w:pPr>
        <w:pStyle w:val="Heading2"/>
        <w:spacing w:before="480"/>
      </w:pPr>
      <w:r>
        <w:t xml:space="preserve">DECLARATION</w:t>
      </w:r>
    </w:p>
    <w:p>
      <w:pPr>
        <w:spacing w:before="240" w:after="360"/>
        <w:ind w:left="360" w:right="360"/>
      </w:pPr>
      <w:r>
        <w:rPr>
          <w:b/>
          <w:bCs/>
        </w:rPr>
        <w:t xml:space="preserve">I confirm that: </w:t>
      </w:r>
      <w:r>
        <w:t xml:space="preserve">(1) the information provided in this questionnaire is accurate, complete, and current; (2) I have authority to provide this information on behalf of my organisation; and (3) I will promptly notify you of any material changes to the information provided.</w:t>
      </w:r>
    </w:p>
    <w:p>
      <w:pPr>
        <w:spacing w:before="240" w:after="80"/>
      </w:pPr>
      <w:r>
        <w:rPr>
          <w:b/>
          <w:bCs/>
        </w:rPr>
        <w:t xml:space="preserve">Full Name: </w:t>
      </w:r>
      <w:r>
        <w:t xml:space="preserve">James Richardson</w:t>
      </w:r>
    </w:p>
    <w:p>
      <w:pPr>
        <w:spacing w:before="120" w:after="80"/>
      </w:pPr>
      <w:r>
        <w:rPr>
          <w:b/>
          <w:bCs/>
        </w:rPr>
        <w:t xml:space="preserve">Position/Title: </w:t>
      </w:r>
      <w:r>
        <w:t xml:space="preserve">Chief Operating Officer</w:t>
      </w:r>
    </w:p>
    <w:p>
      <w:pPr>
        <w:spacing w:before="120" w:after="80"/>
      </w:pPr>
      <w:r>
        <w:rPr>
          <w:b/>
          <w:bCs/>
        </w:rPr>
        <w:t xml:space="preserve">Signature: </w:t>
      </w:r>
      <w:r>
        <w:t xml:space="preserve">James Richardson</w:t>
      </w:r>
    </w:p>
    <w:p>
      <w:pPr>
        <w:spacing w:before="120" w:after="80"/>
      </w:pPr>
      <w:r>
        <w:rPr>
          <w:b/>
          <w:bCs/>
        </w:rPr>
        <w:t xml:space="preserve">Date: </w:t>
      </w:r>
      <w:r>
        <w:t xml:space="preserve">12 February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pPr>
        <w:spacing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40"/>
      <w:outlineLvl w:val="0"/>
    </w:pPr>
    <w:rPr>
      <w:rFonts w:ascii="Arial" w:cs="Arial" w:eastAsia="Arial" w:hAnsi="Arial"/>
      <w:b/>
      <w:bCs/>
      <w:color w:val="1F4E78"/>
      <w:sz w:val="36"/>
      <w:szCs w:val="36"/>
    </w:rPr>
  </w:style>
  <w:style w:type="paragraph" w:styleId="Heading2">
    <w:name w:val="Heading 2"/>
    <w:basedOn w:val="Normal"/>
    <w:next w:val="Normal"/>
    <w:qFormat/>
    <w:pPr>
      <w:pBdr>
        <w:bottom w:val="single" w:color="2E5C8A" w:sz="12" w:space="1"/>
      </w:pBdr>
      <w:spacing w:before="360" w:after="200"/>
      <w:outlineLvl w:val="1"/>
    </w:pPr>
    <w:rPr>
      <w:rFonts w:ascii="Arial" w:cs="Arial" w:eastAsia="Arial" w:hAnsi="Arial"/>
      <w:b/>
      <w:bCs/>
      <w:color w:val="2E5C8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2026-02-12T12:28:59.068Z</dcterms:created>
  <dcterms:modified xsi:type="dcterms:W3CDTF">2026-02-12T12:28:59.068Z</dcterms:modified>
</cp:coreProperties>
</file>

<file path=docProps/custom.xml><?xml version="1.0" encoding="utf-8"?>
<Properties xmlns="http://schemas.openxmlformats.org/officeDocument/2006/custom-properties" xmlns:vt="http://schemas.openxmlformats.org/officeDocument/2006/docPropsVTypes"/>
</file>