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</w:t>
      </w:r>
    </w:p>
    <w:p/>
    <w:p>
      <w:r>
        <w:t>BETWEEN:</w:t>
      </w:r>
    </w:p>
    <w:p>
      <w:r>
        <w:t>Party A: [Company Name] ("Disclosing Party")</w:t>
      </w:r>
    </w:p>
    <w:p>
      <w:r>
        <w:t>AND</w:t>
      </w:r>
    </w:p>
    <w:p>
      <w:r>
        <w:t>Party B: [Recipient Name] ("Receiving Party")</w:t>
      </w:r>
    </w:p>
    <w:p/>
    <w:p>
      <w:pPr>
        <w:pStyle w:val="ListNumber"/>
      </w:pPr>
      <w:r>
        <w:t>Confidential Information. The Receiving Party agrees to keep all information shared by the Disclosing Party strictly confidential.</w:t>
      </w:r>
    </w:p>
    <w:p>
      <w:pPr>
        <w:pStyle w:val="ListNumber"/>
      </w:pPr>
      <w:r>
        <w:t>Purpose. The Receiving Party shall use the Confidential Information solely for the purpose of evaluating a potential business relationship.</w:t>
      </w:r>
    </w:p>
    <w:p>
      <w:pPr>
        <w:pStyle w:val="ListNumber"/>
      </w:pPr>
      <w:r>
        <w:t>Term. This Agreement shall remain in effect for two (2) years from the date of signing.</w:t>
      </w:r>
    </w:p>
    <w:p>
      <w:pPr>
        <w:pStyle w:val="ListNumber"/>
      </w:pPr>
      <w:r>
        <w:t>Return of Materials. Upon request, the Receiving Party shall return all materials containing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