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t>
      </w:r>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pStyle w:val="Heading1"/>
      </w:pPr>
      <w:r>
        <w:t xml:space="preserve">CONFIDENTIALITY OBLIGATIONS</w:t>
      </w:r>
    </w:p>
    <w:p>
      <w:pPr>
        <w:pStyle w:val="ListParagraph"/>
        <w:numPr>
          <w:ilvl w:val="0"/>
          <w:numId w:val="2"/>
        </w:numPr>
        <w:spacing w:after="100"/>
      </w:pPr>
      <w:r>
        <w:t xml:space="preserve">The Receiving Party shall:</w:t>
      </w:r>
    </w:p>
    <w:p>
      <w:pPr>
        <w:pStyle w:val="ListParagraph"/>
        <w:numPr>
          <w:ilvl w:val="0"/>
          <w:numId w:val="3"/>
        </w:numPr>
        <w:spacing w:after="100"/>
      </w:pPr>
      <w:r>
        <w:t xml:space="preserve">keep all Confidential Information strictly confidential;</w:t>
      </w:r>
    </w:p>
    <w:p>
      <w:pPr>
        <w:pStyle w:val="ListParagraph"/>
        <w:numPr>
          <w:ilvl w:val="0"/>
          <w:numId w:val="3"/>
        </w:numPr>
        <w:spacing w:after="100"/>
      </w:pPr>
      <w:r>
        <w:t xml:space="preserve">not disclose any Confidential Information to any third party whatsoever without the prior written consent of the Disclosing Party;</w:t>
      </w:r>
    </w:p>
    <w:p>
      <w:pPr>
        <w:pStyle w:val="ListParagraph"/>
        <w:numPr>
          <w:ilvl w:val="0"/>
          <w:numId w:val="3"/>
        </w:numPr>
        <w:spacing w:after="100"/>
      </w:pPr>
      <w:r>
        <w:t xml:space="preserve">use the Confidential Information solely for the Purpose;</w:t>
      </w:r>
    </w:p>
    <w:p>
      <w:pPr>
        <w:pStyle w:val="ListParagraph"/>
        <w:numPr>
          <w:ilvl w:val="0"/>
          <w:numId w:val="3"/>
        </w:numPr>
        <w:spacing w:after="200"/>
      </w:pPr>
      <w:r>
        <w:t xml:space="preserve">take all reasonable steps to prevent unauthorised access to or disclosure of the Confidential Information.</w:t>
      </w:r>
    </w:p>
    <w:p>
      <w:pPr>
        <w:pStyle w:val="ListParagraph"/>
        <w:numPr>
          <w:ilvl w:val="0"/>
          <w:numId w:val="2"/>
        </w:numPr>
        <w:spacing w:after="200"/>
      </w:pPr>
      <w:r>
        <w:t xml:space="preserve">The Receiving Party may disclose Confidential Information to its Representatives who have a need to know such information for the Purpose, provided that the Receiving Party shall be liable for any breach of this Agreement by its Representatives.</w:t>
      </w:r>
    </w:p>
    <w:p>
      <w:pPr>
        <w:pStyle w:val="Heading1"/>
      </w:pPr>
      <w:r>
        <w:t xml:space="preserve">TERM AND DURATION</w:t>
      </w:r>
    </w:p>
    <w:p>
      <w:pPr>
        <w:pStyle w:val="ListParagraph"/>
        <w:numPr>
          <w:ilvl w:val="0"/>
          <w:numId w:val="2"/>
        </w:numPr>
        <w:spacing w:after="200"/>
      </w:pPr>
      <w:r>
        <w:t xml:space="preserve">This Agreement shall remain in effect for a period of </w:t>
      </w:r>
      <w:r>
        <w:rPr>
          <w:b/>
          <w:bCs/>
        </w:rPr>
        <w:t xml:space="preserve">ten (10) years</w:t>
      </w:r>
      <w:r>
        <w:t xml:space="preserve"> from the date of this Agreement. The confidentiality obligations shall survive the termination of this Agreement indefinitely.</w:t>
      </w:r>
    </w:p>
    <w:p>
      <w:pPr>
        <w:pStyle w:val="Heading1"/>
      </w:pPr>
      <w:r>
        <w:t xml:space="preserve">RETURN OF INFORMATION</w:t>
      </w:r>
    </w:p>
    <w:p>
      <w:pPr>
        <w:pStyle w:val="ListParagraph"/>
        <w:numPr>
          <w:ilvl w:val="0"/>
          <w:numId w:val="2"/>
        </w:numPr>
        <w:spacing w:after="200"/>
      </w:pPr>
      <w:r>
        <w:t xml:space="preserve">Upon written request from the Disclosing Party, the Receiving Party shall immediately destroy all Confidential Information in its possession, including all copies, extracts, and summaries thereof, and shall provide written certification of such destruction within 7 days of the request.</w:t>
      </w:r>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all losses, damages, costs, and expenses (including legal fees on a full indemnity basis) arising from any breach of this Agreement. The Receiving Party's liability under this Agreement shall be unlimited.</w:t>
      </w:r>
    </w:p>
    <w:p>
      <w:pPr>
        <w:pStyle w:val="Heading1"/>
      </w:pPr>
      <w:r>
        <w:t xml:space="preserve">GOVERNING LAW</w:t>
      </w:r>
    </w:p>
    <w:p>
      <w:pPr>
        <w:pStyle w:val="ListParagraph"/>
        <w:numPr>
          <w:ilvl w:val="0"/>
          <w:numId w:val="2"/>
        </w:numPr>
        <w:spacing w:after="200"/>
      </w:pPr>
      <w:r>
        <w:t xml:space="preserve">This Agreement shall be governed by and construed in accordance with the laws of the State of Delaware, USA. The parties submit to the exclusive jurisdiction of the courts of Delaware.</w:t>
      </w:r>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