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498532"/>
            <wp:docPr id="1" name="Picture 1"/>
            <wp:cNvGraphicFramePr>
              <a:graphicFrameLocks noChangeAspect="1"/>
            </wp:cNvGraphicFramePr>
            <a:graphic>
              <a:graphicData uri="http://schemas.openxmlformats.org/drawingml/2006/picture">
                <pic:pic>
                  <pic:nvPicPr>
                    <pic:cNvPr id="0" name="_srm_logo.png"/>
                    <pic:cNvPicPr/>
                  </pic:nvPicPr>
                  <pic:blipFill>
                    <a:blip r:embed="rId9"/>
                    <a:stretch>
                      <a:fillRect/>
                    </a:stretch>
                  </pic:blipFill>
                  <pic:spPr>
                    <a:xfrm>
                      <a:off x="0" y="0"/>
                      <a:ext cx="1280160" cy="498532"/>
                    </a:xfrm>
                    <a:prstGeom prst="rect"/>
                  </pic:spPr>
                </pic:pic>
              </a:graphicData>
            </a:graphic>
          </wp:inline>
        </w:drawing>
      </w:r>
    </w:p>
    <w:p>
      <w:pPr>
        <w:spacing w:before="0" w:after="40"/>
        <w:jc w:val="center"/>
      </w:pPr>
      <w:r>
        <w:rPr>
          <w:rFonts w:ascii="Times New Roman" w:hAnsi="Times New Roman"/>
          <w:b/>
          <w:i w:val="0"/>
          <w:sz w:val="32"/>
        </w:rPr>
        <w:t>SRM INSTITUTE OF SCIENCE AND TECHNOLOGY</w:t>
      </w:r>
    </w:p>
    <w:p>
      <w:pPr>
        <w:spacing w:before="0" w:after="40"/>
        <w:jc w:val="center"/>
      </w:pPr>
      <w:r>
        <w:rPr>
          <w:rFonts w:ascii="Times New Roman" w:hAnsi="Times New Roman"/>
          <w:b/>
          <w:i w:val="0"/>
          <w:sz w:val="26"/>
        </w:rPr>
        <w:t>SCHOOL OF COMPUTING</w:t>
      </w:r>
    </w:p>
    <w:p>
      <w:pPr>
        <w:spacing w:before="0" w:after="40"/>
        <w:jc w:val="center"/>
      </w:pPr>
      <w:r>
        <w:rPr>
          <w:rFonts w:ascii="Times New Roman" w:hAnsi="Times New Roman"/>
          <w:b/>
          <w:i w:val="0"/>
          <w:sz w:val="26"/>
        </w:rPr>
        <w:t>DEPARTMENT OF COMPUTING TECHNOLOGIES</w:t>
      </w:r>
    </w:p>
    <w:p>
      <w:pPr>
        <w:spacing w:before="0" w:after="400"/>
        <w:jc w:val="center"/>
      </w:pPr>
      <w:r>
        <w:rPr>
          <w:rFonts w:ascii="Times New Roman" w:hAnsi="Times New Roman"/>
          <w:b w:val="0"/>
          <w:i w:val="0"/>
          <w:sz w:val="24"/>
        </w:rPr>
        <w:t>KATTANKULATHUR — 603 203</w:t>
      </w:r>
    </w:p>
    <w:p>
      <w:pPr>
        <w:spacing w:before="0" w:after="80"/>
        <w:jc w:val="center"/>
      </w:pPr>
      <w:r>
        <w:rPr>
          <w:rFonts w:ascii="Times New Roman" w:hAnsi="Times New Roman"/>
          <w:b/>
          <w:i w:val="0"/>
          <w:sz w:val="26"/>
        </w:rPr>
        <w:t>A MINOR PROJECT REPORT</w:t>
      </w:r>
    </w:p>
    <w:p>
      <w:pPr>
        <w:spacing w:before="0" w:after="40"/>
        <w:jc w:val="center"/>
      </w:pPr>
      <w:r>
        <w:rPr>
          <w:rFonts w:ascii="Times New Roman" w:hAnsi="Times New Roman"/>
          <w:b w:val="0"/>
          <w:i w:val="0"/>
          <w:sz w:val="24"/>
        </w:rPr>
        <w:t>Submitted in partial fulfilment of the requirements</w:t>
      </w:r>
    </w:p>
    <w:p>
      <w:pPr>
        <w:spacing w:before="0" w:after="40"/>
        <w:jc w:val="center"/>
      </w:pPr>
      <w:r>
        <w:rPr>
          <w:rFonts w:ascii="Times New Roman" w:hAnsi="Times New Roman"/>
          <w:b w:val="0"/>
          <w:i w:val="0"/>
          <w:sz w:val="24"/>
        </w:rPr>
        <w:t>for the award of the degree of</w:t>
      </w:r>
    </w:p>
    <w:p>
      <w:pPr>
        <w:spacing w:before="0" w:after="40"/>
        <w:jc w:val="center"/>
      </w:pPr>
      <w:r>
        <w:rPr>
          <w:rFonts w:ascii="Times New Roman" w:hAnsi="Times New Roman"/>
          <w:b/>
          <w:i w:val="0"/>
          <w:sz w:val="26"/>
        </w:rPr>
        <w:t>BACHELOR OF TECHNOLOGY</w:t>
      </w:r>
    </w:p>
    <w:p>
      <w:pPr>
        <w:spacing w:before="0" w:after="40"/>
        <w:jc w:val="center"/>
      </w:pPr>
      <w:r>
        <w:rPr>
          <w:rFonts w:ascii="Times New Roman" w:hAnsi="Times New Roman"/>
          <w:b w:val="0"/>
          <w:i w:val="0"/>
          <w:sz w:val="24"/>
        </w:rPr>
        <w:t>in</w:t>
      </w:r>
    </w:p>
    <w:p>
      <w:pPr>
        <w:spacing w:before="0" w:after="400"/>
        <w:jc w:val="center"/>
      </w:pPr>
      <w:r>
        <w:rPr>
          <w:rFonts w:ascii="Times New Roman" w:hAnsi="Times New Roman"/>
          <w:b/>
          <w:i w:val="0"/>
          <w:sz w:val="26"/>
        </w:rPr>
        <w:t>COMPUTER SCIENCE AND ENGINEERING</w:t>
      </w:r>
    </w:p>
    <w:p>
      <w:pPr>
        <w:spacing w:before="0" w:after="80"/>
        <w:jc w:val="center"/>
      </w:pPr>
      <w:r>
        <w:rPr>
          <w:rFonts w:ascii="Times New Roman" w:hAnsi="Times New Roman"/>
          <w:b/>
          <w:i w:val="0"/>
          <w:sz w:val="32"/>
        </w:rPr>
        <w:t>SERVERLESS REGIME SHIFT DETECTION SYSTEM</w:t>
      </w:r>
    </w:p>
    <w:p>
      <w:pPr>
        <w:spacing w:before="0" w:after="400"/>
        <w:jc w:val="center"/>
      </w:pPr>
      <w:r>
        <w:rPr>
          <w:rFonts w:ascii="Times New Roman" w:hAnsi="Times New Roman"/>
          <w:b w:val="0"/>
          <w:i/>
          <w:sz w:val="24"/>
        </w:rPr>
        <w:t>Real-Time Financial Behavioral Monitoring Platform Using Ensemble Machine Learning</w:t>
      </w:r>
    </w:p>
    <w:p>
      <w:pPr>
        <w:spacing w:before="0" w:after="80"/>
        <w:jc w:val="center"/>
      </w:pPr>
      <w:r>
        <w:rPr>
          <w:rFonts w:ascii="Times New Roman" w:hAnsi="Times New Roman"/>
          <w:b w:val="0"/>
          <w:i w:val="0"/>
          <w:sz w:val="24"/>
        </w:rPr>
        <w:t>Submitted by</w:t>
      </w:r>
    </w:p>
    <w:p>
      <w:pPr>
        <w:spacing w:before="0" w:after="40"/>
        <w:jc w:val="center"/>
      </w:pPr>
      <w:r>
        <w:rPr>
          <w:rFonts w:ascii="Times New Roman" w:hAnsi="Times New Roman"/>
          <w:b/>
          <w:i w:val="0"/>
          <w:sz w:val="24"/>
        </w:rPr>
        <w:t>Sarukeshwar S  |  Reg. No: RA2311003011XXX</w:t>
      </w:r>
    </w:p>
    <w:p>
      <w:pPr>
        <w:spacing w:before="0" w:after="320"/>
        <w:jc w:val="center"/>
      </w:pPr>
      <w:r>
        <w:rPr>
          <w:rFonts w:ascii="Times New Roman" w:hAnsi="Times New Roman"/>
          <w:b/>
          <w:i w:val="0"/>
          <w:sz w:val="24"/>
        </w:rPr>
        <w:t>[Co-Author Name]  |  Reg. No: RA2311003011YYY</w:t>
      </w:r>
    </w:p>
    <w:p>
      <w:pPr>
        <w:spacing w:before="0" w:after="80"/>
        <w:jc w:val="center"/>
      </w:pPr>
      <w:r>
        <w:rPr>
          <w:rFonts w:ascii="Times New Roman" w:hAnsi="Times New Roman"/>
          <w:b w:val="0"/>
          <w:i w:val="0"/>
          <w:sz w:val="24"/>
        </w:rPr>
        <w:t>Under the guidance of</w:t>
      </w:r>
    </w:p>
    <w:p>
      <w:pPr>
        <w:spacing w:before="0" w:after="40"/>
        <w:jc w:val="center"/>
      </w:pPr>
      <w:r>
        <w:rPr>
          <w:rFonts w:ascii="Times New Roman" w:hAnsi="Times New Roman"/>
          <w:b/>
          <w:i w:val="0"/>
          <w:sz w:val="24"/>
        </w:rPr>
        <w:t>Dr. [Faculty Name]</w:t>
      </w:r>
    </w:p>
    <w:p>
      <w:pPr>
        <w:spacing w:before="0" w:after="400"/>
        <w:jc w:val="center"/>
      </w:pPr>
      <w:r>
        <w:rPr>
          <w:rFonts w:ascii="Times New Roman" w:hAnsi="Times New Roman"/>
          <w:b w:val="0"/>
          <w:i w:val="0"/>
          <w:sz w:val="24"/>
        </w:rPr>
        <w:t>Assistant Professor, Department of Computing Technologies</w:t>
      </w:r>
    </w:p>
    <w:p>
      <w:pPr>
        <w:spacing w:before="0" w:after="80"/>
        <w:jc w:val="center"/>
      </w:pPr>
      <w:r>
        <w:rPr>
          <w:rFonts w:ascii="Times New Roman" w:hAnsi="Times New Roman"/>
          <w:b/>
          <w:i w:val="0"/>
          <w:sz w:val="24"/>
        </w:rPr>
        <w:t>21CSP302L — MINOR PROJECT</w:t>
      </w:r>
    </w:p>
    <w:p>
      <w:pPr>
        <w:spacing w:before="0" w:after="0"/>
        <w:jc w:val="center"/>
      </w:pPr>
      <w:r>
        <w:rPr>
          <w:rFonts w:ascii="Times New Roman" w:hAnsi="Times New Roman"/>
          <w:b w:val="0"/>
          <w:i w:val="0"/>
          <w:sz w:val="24"/>
        </w:rPr>
        <w:t>NOVEMBER 2024 — APRIL 2025</w:t>
      </w:r>
    </w:p>
    <w:p>
      <w:r>
        <w:br w:type="page"/>
      </w:r>
    </w:p>
    <w:p>
      <w:pPr>
        <w:keepNext/>
        <w:spacing w:before="0" w:after="120"/>
        <w:jc w:val="left"/>
      </w:pPr>
      <w:r>
        <w:rPr>
          <w:rFonts w:ascii="Times New Roman" w:hAnsi="Times New Roman"/>
          <w:b/>
          <w:i w:val="0"/>
          <w:sz w:val="30"/>
        </w:rPr>
        <w:t>BONAFIDE CERTIFICATE</w:t>
      </w:r>
    </w:p>
    <w:p>
      <w:pPr>
        <w:spacing w:before="0" w:after="200"/>
        <w:jc w:val="both"/>
      </w:pPr>
    </w:p>
    <w:p>
      <w:pPr>
        <w:spacing w:before="0" w:after="600"/>
        <w:jc w:val="both"/>
      </w:pPr>
      <w:r>
        <w:rPr>
          <w:rFonts w:ascii="Times New Roman" w:hAnsi="Times New Roman"/>
          <w:b w:val="0"/>
          <w:i w:val="0"/>
          <w:sz w:val="24"/>
        </w:rPr>
        <w:t>This is to certify that the Minor Project entitled "SERVERLESS REGIME SHIFT DETECTION SYSTEM — Real-Time Financial Behavioral Monitoring Platform Using Ensemble Machine Learning" is the bonafide work of Sarukeshwar S (Reg. No: RA2311003011XXX) and [Co-Author Name] (Reg. No: RA2311003011YYY), students of B.Tech Computer Science and Engineering, Department of Computing Technologies, SRM Institute of Science and Technology, Kattankulathur, submitted in partial fulfilment of the requirements for the award of the Degree of Bachelor of Technology during the academic year 2024–2025.</w:t>
      </w:r>
    </w:p>
    <w:p>
      <w:pPr>
        <w:spacing w:before="0" w:after="80"/>
        <w:jc w:val="left"/>
      </w:pPr>
      <w:r>
        <w:rPr>
          <w:rFonts w:ascii="Times New Roman" w:hAnsi="Times New Roman"/>
          <w:b w:val="0"/>
          <w:i w:val="0"/>
          <w:sz w:val="24"/>
        </w:rPr>
        <w:t>SIGNATURE</w:t>
        <w:tab/>
        <w:tab/>
        <w:tab/>
        <w:tab/>
        <w:tab/>
        <w:tab/>
        <w:t>SIGNATURE</w:t>
      </w:r>
    </w:p>
    <w:p>
      <w:pPr>
        <w:spacing w:before="0" w:after="40"/>
        <w:jc w:val="left"/>
      </w:pPr>
      <w:r>
        <w:rPr>
          <w:rFonts w:ascii="Times New Roman" w:hAnsi="Times New Roman"/>
          <w:b w:val="0"/>
          <w:i w:val="0"/>
          <w:sz w:val="24"/>
        </w:rPr>
        <w:t>GUIDE</w:t>
        <w:tab/>
        <w:tab/>
        <w:tab/>
        <w:tab/>
        <w:tab/>
        <w:tab/>
        <w:tab/>
        <w:t>HEAD OF THE DEPARTMENT</w:t>
      </w:r>
    </w:p>
    <w:p>
      <w:pPr>
        <w:spacing w:before="0" w:after="40"/>
        <w:jc w:val="left"/>
      </w:pPr>
      <w:r>
        <w:rPr>
          <w:rFonts w:ascii="Times New Roman" w:hAnsi="Times New Roman"/>
          <w:b w:val="0"/>
          <w:i w:val="0"/>
          <w:sz w:val="24"/>
        </w:rPr>
        <w:t>Dr. [Faculty Name]</w:t>
        <w:tab/>
        <w:tab/>
        <w:tab/>
        <w:tab/>
        <w:tab/>
        <w:t>Dr. [HOD Name]</w:t>
      </w:r>
    </w:p>
    <w:p>
      <w:pPr>
        <w:spacing w:before="0" w:after="40"/>
        <w:jc w:val="left"/>
      </w:pPr>
      <w:r>
        <w:rPr>
          <w:rFonts w:ascii="Times New Roman" w:hAnsi="Times New Roman"/>
          <w:b w:val="0"/>
          <w:i w:val="0"/>
          <w:sz w:val="24"/>
        </w:rPr>
        <w:t>Assistant Professor</w:t>
        <w:tab/>
        <w:tab/>
        <w:tab/>
        <w:tab/>
        <w:tab/>
        <w:t>Professor &amp; Head</w:t>
      </w:r>
    </w:p>
    <w:p>
      <w:pPr>
        <w:spacing w:before="0" w:after="120"/>
        <w:jc w:val="left"/>
      </w:pPr>
      <w:r>
        <w:rPr>
          <w:rFonts w:ascii="Times New Roman" w:hAnsi="Times New Roman"/>
          <w:b w:val="0"/>
          <w:i w:val="0"/>
          <w:sz w:val="24"/>
        </w:rPr>
        <w:t>Department of Computing Technologies</w:t>
        <w:tab/>
        <w:tab/>
        <w:t>Department of Computing Technologies</w:t>
      </w:r>
    </w:p>
    <w:p>
      <w:r>
        <w:br w:type="page"/>
      </w:r>
    </w:p>
    <w:p>
      <w:pPr>
        <w:keepNext/>
        <w:spacing w:before="0" w:after="120"/>
        <w:jc w:val="left"/>
      </w:pPr>
      <w:r>
        <w:rPr>
          <w:rFonts w:ascii="Times New Roman" w:hAnsi="Times New Roman"/>
          <w:b/>
          <w:i w:val="0"/>
          <w:sz w:val="30"/>
        </w:rPr>
        <w:t>ACKNOWLEDGEMENT</w:t>
      </w:r>
    </w:p>
    <w:p>
      <w:pPr>
        <w:spacing w:before="0" w:after="120"/>
        <w:jc w:val="both"/>
      </w:pPr>
      <w:r>
        <w:rPr>
          <w:rFonts w:ascii="Times New Roman" w:hAnsi="Times New Roman"/>
          <w:b w:val="0"/>
          <w:i w:val="0"/>
          <w:sz w:val="24"/>
        </w:rPr>
        <w:t>We would like to express our sincere gratitude to Dr. [Faculty Name], Assistant Professor, Department of Computing Technologies, SRM Institute of Science and Technology, for his/her invaluable guidance, consistent encouragement, and insightful feedback throughout the entirety of this project. Without his/her mentorship, this work would not have been possible.</w:t>
      </w:r>
    </w:p>
    <w:p>
      <w:pPr>
        <w:spacing w:before="0" w:after="120"/>
        <w:jc w:val="both"/>
      </w:pPr>
      <w:r>
        <w:rPr>
          <w:rFonts w:ascii="Times New Roman" w:hAnsi="Times New Roman"/>
          <w:b w:val="0"/>
          <w:i w:val="0"/>
          <w:sz w:val="24"/>
        </w:rPr>
        <w:t>We are deeply thankful to Dr. [HOD Name], Head of the Department of Computing Technologies, for providing us with the necessary infrastructure, academic support, and an environment that fosters innovation and research.</w:t>
      </w:r>
    </w:p>
    <w:p>
      <w:pPr>
        <w:spacing w:before="0" w:after="120"/>
        <w:jc w:val="both"/>
      </w:pPr>
      <w:r>
        <w:rPr>
          <w:rFonts w:ascii="Times New Roman" w:hAnsi="Times New Roman"/>
          <w:b w:val="0"/>
          <w:i w:val="0"/>
          <w:sz w:val="24"/>
        </w:rPr>
        <w:t>We extend our appreciation to SRM Institute of Science and Technology for its excellent academic facilities, library resources, and high-performance computing infrastructure that made this project feasible.</w:t>
      </w:r>
    </w:p>
    <w:p>
      <w:pPr>
        <w:spacing w:before="0" w:after="120"/>
        <w:jc w:val="both"/>
      </w:pPr>
      <w:r>
        <w:rPr>
          <w:rFonts w:ascii="Times New Roman" w:hAnsi="Times New Roman"/>
          <w:b w:val="0"/>
          <w:i w:val="0"/>
          <w:sz w:val="24"/>
        </w:rPr>
        <w:t>We are grateful to Binance, for providing an openly accessible WebSocket API that enabled us to ingest real-time cryptocurrency market data at scale. We also acknowledge the developers of the open-source libraries — ruptures, river, FastAPI, Next.js, Redis, and MongoDB — whose tools formed the technical backbone of this system.</w:t>
      </w:r>
    </w:p>
    <w:p>
      <w:pPr>
        <w:spacing w:before="0" w:after="120"/>
        <w:jc w:val="both"/>
      </w:pPr>
      <w:r>
        <w:rPr>
          <w:rFonts w:ascii="Times New Roman" w:hAnsi="Times New Roman"/>
          <w:b w:val="0"/>
          <w:i w:val="0"/>
          <w:sz w:val="24"/>
        </w:rPr>
        <w:t>Finally, we would like to thank our families and friends for their unwavering moral support and patience during the development of this project.</w:t>
      </w:r>
    </w:p>
    <w:p>
      <w:pPr>
        <w:spacing w:before="0" w:after="600"/>
        <w:jc w:val="both"/>
      </w:pPr>
    </w:p>
    <w:p>
      <w:pPr>
        <w:spacing w:before="0" w:after="120"/>
        <w:jc w:val="right"/>
      </w:pPr>
      <w:r>
        <w:rPr>
          <w:rFonts w:ascii="Times New Roman" w:hAnsi="Times New Roman"/>
          <w:b w:val="0"/>
          <w:i w:val="0"/>
          <w:sz w:val="24"/>
        </w:rPr>
        <w:t>Sarukeshwar S</w:t>
      </w:r>
    </w:p>
    <w:p>
      <w:pPr>
        <w:spacing w:before="0" w:after="120"/>
        <w:jc w:val="right"/>
      </w:pPr>
      <w:r>
        <w:rPr>
          <w:rFonts w:ascii="Times New Roman" w:hAnsi="Times New Roman"/>
          <w:b w:val="0"/>
          <w:i w:val="0"/>
          <w:sz w:val="24"/>
        </w:rPr>
        <w:t>[Co-Author Name]</w:t>
      </w:r>
    </w:p>
    <w:p>
      <w:r>
        <w:br w:type="page"/>
      </w:r>
    </w:p>
    <w:p>
      <w:pPr>
        <w:keepNext/>
        <w:spacing w:before="0" w:after="120"/>
        <w:jc w:val="left"/>
      </w:pPr>
      <w:r>
        <w:rPr>
          <w:rFonts w:ascii="Times New Roman" w:hAnsi="Times New Roman"/>
          <w:b/>
          <w:i w:val="0"/>
          <w:sz w:val="30"/>
        </w:rPr>
        <w:t>ABSTRACT</w:t>
      </w:r>
    </w:p>
    <w:p>
      <w:pPr>
        <w:spacing w:before="0" w:after="120"/>
        <w:jc w:val="both"/>
      </w:pPr>
      <w:r>
        <w:rPr>
          <w:rFonts w:ascii="Times New Roman" w:hAnsi="Times New Roman"/>
          <w:b w:val="0"/>
          <w:i w:val="0"/>
          <w:sz w:val="24"/>
        </w:rPr>
        <w:t>Financial markets are fundamentally non-stationary systems. They transition between distinct behavioural regimes — periods of calm, stable growth followed by volatile, erratic price movements and, in extreme cases, rapid structural breakdowns. The ability to detect these transitions in real time is of critical importance to traders, risk managers, and quantitative researchers. However, existing approaches to regime detection are either computationally expensive, dependent on deep learning models requiring large labeled datasets, or too slow to provide actionable signals.</w:t>
      </w:r>
    </w:p>
    <w:p>
      <w:pPr>
        <w:spacing w:before="0" w:after="120"/>
        <w:jc w:val="both"/>
      </w:pPr>
      <w:r>
        <w:rPr>
          <w:rFonts w:ascii="Times New Roman" w:hAnsi="Times New Roman"/>
          <w:b w:val="0"/>
          <w:i w:val="0"/>
          <w:sz w:val="24"/>
        </w:rPr>
        <w:t>This project presents the design and implementation of a Serverless Regime Shift Detection System — a lightweight, fully interpretable, real-time financial monitoring platform. The system connects to Binance's live WebSocket API and simultaneously ingests trade tick data for six high-liquidity cryptocurrency assets: Bitcoin (BTC), Ethereum (ETH), Solana (SOL), BNB, Ripple (XRP), and Cardano (ADA). Each asset's trade ticks are aggregated into 60-second sliding windows, which are then fed into a dual-algorithm ensemble detection engine.</w:t>
      </w:r>
    </w:p>
    <w:p>
      <w:pPr>
        <w:spacing w:before="0" w:after="120"/>
        <w:jc w:val="both"/>
      </w:pPr>
      <w:r>
        <w:rPr>
          <w:rFonts w:ascii="Times New Roman" w:hAnsi="Times New Roman"/>
          <w:b w:val="0"/>
          <w:i w:val="0"/>
          <w:sz w:val="24"/>
        </w:rPr>
        <w:t>The detection engine combines two complementary algorithms: the PELT (Pruned Exact Linear Time) algorithm from the ruptures library, which performs offline structural change-point detection on a batch of normalised price returns, and the ADWIN (Adaptive Windowing) algorithm from the river library, which continuously monitors the online data stream for statistical drift. A RegimeTracker module implements a 3-window majority vote mechanism to prevent spurious alerts caused by transient market noise.</w:t>
      </w:r>
    </w:p>
    <w:p>
      <w:pPr>
        <w:spacing w:before="0" w:after="120"/>
        <w:jc w:val="both"/>
      </w:pPr>
      <w:r>
        <w:rPr>
          <w:rFonts w:ascii="Times New Roman" w:hAnsi="Times New Roman"/>
          <w:b w:val="0"/>
          <w:i w:val="0"/>
          <w:sz w:val="24"/>
        </w:rPr>
        <w:t>Detected regime states — STABLE, TRANSITIONING, or STRESSED — are immediately cached in Redis for near-instantaneous API access, while confirmed anomaly events are persistently stored in a MongoDB Atlas cloud database. A FastAPI REST layer exposes these data points to a Next.js frontend application that provides a Deep Dive Dashboard and a six-asset Macro Screener matrix view, both auto-refreshing every three seconds.</w:t>
      </w:r>
    </w:p>
    <w:p>
      <w:pPr>
        <w:spacing w:before="0" w:after="120"/>
        <w:jc w:val="both"/>
      </w:pPr>
      <w:r>
        <w:rPr>
          <w:rFonts w:ascii="Times New Roman" w:hAnsi="Times New Roman"/>
          <w:b w:val="0"/>
          <w:i w:val="0"/>
          <w:sz w:val="24"/>
        </w:rPr>
        <w:t>The entire platform is containerized using Docker and deployed to Hugging Face Spaces, making it publicly accessible from any browser without local setup. This project demonstrates that a production-grade, real-time financial intelligence system can be built entirely with classical statistical methods, zero GPU dependency, and commodity cloud infrastructure.</w:t>
      </w:r>
    </w:p>
    <w:p>
      <w:pPr>
        <w:spacing w:before="0" w:after="160"/>
        <w:jc w:val="both"/>
      </w:pPr>
    </w:p>
    <w:p>
      <w:pPr>
        <w:spacing w:before="0" w:after="120"/>
        <w:jc w:val="both"/>
      </w:pPr>
      <w:r>
        <w:rPr>
          <w:rFonts w:ascii="Times New Roman" w:hAnsi="Times New Roman"/>
          <w:b w:val="0"/>
          <w:i/>
          <w:sz w:val="22"/>
        </w:rPr>
        <w:t>Keywords: Regime Detection, Change Point Detection, PELT Algorithm, ADWIN, Online Learning, Real-Time Financial Monitoring, Cryptocurrency, Redis, MongoDB Atlas, FastAPI, Next.js, Docker.</w:t>
      </w:r>
    </w:p>
    <w:p>
      <w:r>
        <w:br w:type="page"/>
      </w:r>
    </w:p>
    <w:p>
      <w:pPr>
        <w:keepNext/>
        <w:spacing w:before="0" w:after="120"/>
        <w:jc w:val="left"/>
      </w:pPr>
      <w:r>
        <w:rPr>
          <w:rFonts w:ascii="Times New Roman" w:hAnsi="Times New Roman"/>
          <w:b/>
          <w:i w:val="0"/>
          <w:sz w:val="30"/>
        </w:rPr>
        <w:t>TABLE OF CONTENTS</w:t>
      </w:r>
    </w:p>
    <w:p>
      <w:pPr>
        <w:tabs>
          <w:tab w:pos="8352" w:val="left"/>
        </w:tabs>
        <w:spacing w:after="40"/>
      </w:pPr>
      <w:r>
        <w:rPr>
          <w:rFonts w:ascii="Times New Roman" w:hAnsi="Times New Roman"/>
          <w:b w:val="0"/>
          <w:i w:val="0"/>
          <w:sz w:val="24"/>
        </w:rPr>
        <w:t>Bonafide Certificate</w:t>
      </w:r>
      <w:r>
        <w:rPr>
          <w:rFonts w:ascii="Times New Roman" w:hAnsi="Times New Roman"/>
          <w:b w:val="0"/>
          <w:i w:val="0"/>
          <w:sz w:val="24"/>
        </w:rPr>
        <w:tab/>
        <w:t>ii</w:t>
      </w:r>
    </w:p>
    <w:p>
      <w:pPr>
        <w:tabs>
          <w:tab w:pos="8352" w:val="left"/>
        </w:tabs>
        <w:spacing w:after="40"/>
      </w:pPr>
      <w:r>
        <w:rPr>
          <w:rFonts w:ascii="Times New Roman" w:hAnsi="Times New Roman"/>
          <w:b w:val="0"/>
          <w:i w:val="0"/>
          <w:sz w:val="24"/>
        </w:rPr>
        <w:t>Acknowledgement</w:t>
      </w:r>
      <w:r>
        <w:rPr>
          <w:rFonts w:ascii="Times New Roman" w:hAnsi="Times New Roman"/>
          <w:b w:val="0"/>
          <w:i w:val="0"/>
          <w:sz w:val="24"/>
        </w:rPr>
        <w:tab/>
        <w:t>iii</w:t>
      </w:r>
    </w:p>
    <w:p>
      <w:pPr>
        <w:tabs>
          <w:tab w:pos="8352" w:val="left"/>
        </w:tabs>
        <w:spacing w:after="40"/>
      </w:pPr>
      <w:r>
        <w:rPr>
          <w:rFonts w:ascii="Times New Roman" w:hAnsi="Times New Roman"/>
          <w:b w:val="0"/>
          <w:i w:val="0"/>
          <w:sz w:val="24"/>
        </w:rPr>
        <w:t>Abstract</w:t>
      </w:r>
      <w:r>
        <w:rPr>
          <w:rFonts w:ascii="Times New Roman" w:hAnsi="Times New Roman"/>
          <w:b w:val="0"/>
          <w:i w:val="0"/>
          <w:sz w:val="24"/>
        </w:rPr>
        <w:tab/>
        <w:t>iv</w:t>
      </w:r>
    </w:p>
    <w:p>
      <w:pPr>
        <w:tabs>
          <w:tab w:pos="8352" w:val="left"/>
        </w:tabs>
        <w:spacing w:after="40"/>
      </w:pPr>
      <w:r>
        <w:rPr>
          <w:rFonts w:ascii="Times New Roman" w:hAnsi="Times New Roman"/>
          <w:b w:val="0"/>
          <w:i w:val="0"/>
          <w:sz w:val="24"/>
        </w:rPr>
        <w:t>Table of Contents</w:t>
      </w:r>
      <w:r>
        <w:rPr>
          <w:rFonts w:ascii="Times New Roman" w:hAnsi="Times New Roman"/>
          <w:b w:val="0"/>
          <w:i w:val="0"/>
          <w:sz w:val="24"/>
        </w:rPr>
        <w:tab/>
        <w:t>v</w:t>
      </w:r>
    </w:p>
    <w:p>
      <w:pPr>
        <w:tabs>
          <w:tab w:pos="8352" w:val="left"/>
        </w:tabs>
        <w:spacing w:after="40"/>
      </w:pPr>
      <w:r>
        <w:rPr>
          <w:rFonts w:ascii="Times New Roman" w:hAnsi="Times New Roman"/>
          <w:b w:val="0"/>
          <w:i w:val="0"/>
          <w:sz w:val="24"/>
        </w:rPr>
        <w:t>List of Figures</w:t>
      </w:r>
      <w:r>
        <w:rPr>
          <w:rFonts w:ascii="Times New Roman" w:hAnsi="Times New Roman"/>
          <w:b w:val="0"/>
          <w:i w:val="0"/>
          <w:sz w:val="24"/>
        </w:rPr>
        <w:tab/>
        <w:t>vi</w:t>
      </w:r>
    </w:p>
    <w:p>
      <w:pPr>
        <w:tabs>
          <w:tab w:pos="8352" w:val="left"/>
        </w:tabs>
        <w:spacing w:after="40"/>
      </w:pPr>
      <w:r>
        <w:rPr>
          <w:rFonts w:ascii="Times New Roman" w:hAnsi="Times New Roman"/>
          <w:b w:val="0"/>
          <w:i w:val="0"/>
          <w:sz w:val="24"/>
        </w:rPr>
        <w:t>CHAPTER 1: Introduction</w:t>
      </w:r>
      <w:r>
        <w:rPr>
          <w:rFonts w:ascii="Times New Roman" w:hAnsi="Times New Roman"/>
          <w:b w:val="0"/>
          <w:i w:val="0"/>
          <w:sz w:val="24"/>
        </w:rPr>
        <w:tab/>
        <w:t>1</w:t>
      </w:r>
    </w:p>
    <w:p>
      <w:pPr>
        <w:tabs>
          <w:tab w:pos="8352" w:val="left"/>
        </w:tabs>
        <w:spacing w:after="40"/>
      </w:pPr>
      <w:r>
        <w:rPr>
          <w:rFonts w:ascii="Times New Roman" w:hAnsi="Times New Roman"/>
          <w:b w:val="0"/>
          <w:i w:val="0"/>
          <w:sz w:val="24"/>
        </w:rPr>
        <w:t xml:space="preserve">   1.1  Background and Motivation</w:t>
      </w:r>
      <w:r>
        <w:rPr>
          <w:rFonts w:ascii="Times New Roman" w:hAnsi="Times New Roman"/>
          <w:b w:val="0"/>
          <w:i w:val="0"/>
          <w:sz w:val="24"/>
        </w:rPr>
        <w:tab/>
        <w:t>1</w:t>
      </w:r>
    </w:p>
    <w:p>
      <w:pPr>
        <w:tabs>
          <w:tab w:pos="8352" w:val="left"/>
        </w:tabs>
        <w:spacing w:after="40"/>
      </w:pPr>
      <w:r>
        <w:rPr>
          <w:rFonts w:ascii="Times New Roman" w:hAnsi="Times New Roman"/>
          <w:b w:val="0"/>
          <w:i w:val="0"/>
          <w:sz w:val="24"/>
        </w:rPr>
        <w:t xml:space="preserve">   1.2  Problem Definition</w:t>
      </w:r>
      <w:r>
        <w:rPr>
          <w:rFonts w:ascii="Times New Roman" w:hAnsi="Times New Roman"/>
          <w:b w:val="0"/>
          <w:i w:val="0"/>
          <w:sz w:val="24"/>
        </w:rPr>
        <w:tab/>
        <w:t>2</w:t>
      </w:r>
    </w:p>
    <w:p>
      <w:pPr>
        <w:tabs>
          <w:tab w:pos="8352" w:val="left"/>
        </w:tabs>
        <w:spacing w:after="40"/>
      </w:pPr>
      <w:r>
        <w:rPr>
          <w:rFonts w:ascii="Times New Roman" w:hAnsi="Times New Roman"/>
          <w:b w:val="0"/>
          <w:i w:val="0"/>
          <w:sz w:val="24"/>
        </w:rPr>
        <w:t xml:space="preserve">   1.3  Scope of the Project</w:t>
      </w:r>
      <w:r>
        <w:rPr>
          <w:rFonts w:ascii="Times New Roman" w:hAnsi="Times New Roman"/>
          <w:b w:val="0"/>
          <w:i w:val="0"/>
          <w:sz w:val="24"/>
        </w:rPr>
        <w:tab/>
        <w:t>3</w:t>
      </w:r>
    </w:p>
    <w:p>
      <w:pPr>
        <w:tabs>
          <w:tab w:pos="8352" w:val="left"/>
        </w:tabs>
        <w:spacing w:after="40"/>
      </w:pPr>
      <w:r>
        <w:rPr>
          <w:rFonts w:ascii="Times New Roman" w:hAnsi="Times New Roman"/>
          <w:b w:val="0"/>
          <w:i w:val="0"/>
          <w:sz w:val="24"/>
        </w:rPr>
        <w:t xml:space="preserve">   1.4  Organisation of the Report</w:t>
      </w:r>
      <w:r>
        <w:rPr>
          <w:rFonts w:ascii="Times New Roman" w:hAnsi="Times New Roman"/>
          <w:b w:val="0"/>
          <w:i w:val="0"/>
          <w:sz w:val="24"/>
        </w:rPr>
        <w:tab/>
        <w:t>3</w:t>
      </w:r>
    </w:p>
    <w:p>
      <w:pPr>
        <w:tabs>
          <w:tab w:pos="8352" w:val="left"/>
        </w:tabs>
        <w:spacing w:after="40"/>
      </w:pPr>
      <w:r>
        <w:rPr>
          <w:rFonts w:ascii="Times New Roman" w:hAnsi="Times New Roman"/>
          <w:b w:val="0"/>
          <w:i w:val="0"/>
          <w:sz w:val="24"/>
        </w:rPr>
        <w:t>CHAPTER 2: Literature Survey</w:t>
      </w:r>
      <w:r>
        <w:rPr>
          <w:rFonts w:ascii="Times New Roman" w:hAnsi="Times New Roman"/>
          <w:b w:val="0"/>
          <w:i w:val="0"/>
          <w:sz w:val="24"/>
        </w:rPr>
        <w:tab/>
        <w:t>4</w:t>
      </w:r>
    </w:p>
    <w:p>
      <w:pPr>
        <w:tabs>
          <w:tab w:pos="8352" w:val="left"/>
        </w:tabs>
        <w:spacing w:after="40"/>
      </w:pPr>
      <w:r>
        <w:rPr>
          <w:rFonts w:ascii="Times New Roman" w:hAnsi="Times New Roman"/>
          <w:b w:val="0"/>
          <w:i w:val="0"/>
          <w:sz w:val="24"/>
        </w:rPr>
        <w:t>CHAPTER 3: Proposed Methodology</w:t>
      </w:r>
      <w:r>
        <w:rPr>
          <w:rFonts w:ascii="Times New Roman" w:hAnsi="Times New Roman"/>
          <w:b w:val="0"/>
          <w:i w:val="0"/>
          <w:sz w:val="24"/>
        </w:rPr>
        <w:tab/>
        <w:t>7</w:t>
      </w:r>
    </w:p>
    <w:p>
      <w:pPr>
        <w:tabs>
          <w:tab w:pos="8352" w:val="left"/>
        </w:tabs>
        <w:spacing w:after="40"/>
      </w:pPr>
      <w:r>
        <w:rPr>
          <w:rFonts w:ascii="Times New Roman" w:hAnsi="Times New Roman"/>
          <w:b w:val="0"/>
          <w:i w:val="0"/>
          <w:sz w:val="24"/>
        </w:rPr>
        <w:t xml:space="preserve">   3.1  Data Ingestion Pipeline</w:t>
      </w:r>
      <w:r>
        <w:rPr>
          <w:rFonts w:ascii="Times New Roman" w:hAnsi="Times New Roman"/>
          <w:b w:val="0"/>
          <w:i w:val="0"/>
          <w:sz w:val="24"/>
        </w:rPr>
        <w:tab/>
        <w:t>7</w:t>
      </w:r>
    </w:p>
    <w:p>
      <w:pPr>
        <w:tabs>
          <w:tab w:pos="8352" w:val="left"/>
        </w:tabs>
        <w:spacing w:after="40"/>
      </w:pPr>
      <w:r>
        <w:rPr>
          <w:rFonts w:ascii="Times New Roman" w:hAnsi="Times New Roman"/>
          <w:b w:val="0"/>
          <w:i w:val="0"/>
          <w:sz w:val="24"/>
        </w:rPr>
        <w:t xml:space="preserve">   3.2  Feature Engineering</w:t>
      </w:r>
      <w:r>
        <w:rPr>
          <w:rFonts w:ascii="Times New Roman" w:hAnsi="Times New Roman"/>
          <w:b w:val="0"/>
          <w:i w:val="0"/>
          <w:sz w:val="24"/>
        </w:rPr>
        <w:tab/>
        <w:t>8</w:t>
      </w:r>
    </w:p>
    <w:p>
      <w:pPr>
        <w:tabs>
          <w:tab w:pos="8352" w:val="left"/>
        </w:tabs>
        <w:spacing w:after="40"/>
      </w:pPr>
      <w:r>
        <w:rPr>
          <w:rFonts w:ascii="Times New Roman" w:hAnsi="Times New Roman"/>
          <w:b w:val="0"/>
          <w:i w:val="0"/>
          <w:sz w:val="24"/>
        </w:rPr>
        <w:t xml:space="preserve">   3.3  Ensemble Detection Engine</w:t>
      </w:r>
      <w:r>
        <w:rPr>
          <w:rFonts w:ascii="Times New Roman" w:hAnsi="Times New Roman"/>
          <w:b w:val="0"/>
          <w:i w:val="0"/>
          <w:sz w:val="24"/>
        </w:rPr>
        <w:tab/>
        <w:t>9</w:t>
      </w:r>
    </w:p>
    <w:p>
      <w:pPr>
        <w:tabs>
          <w:tab w:pos="8352" w:val="left"/>
        </w:tabs>
        <w:spacing w:after="40"/>
      </w:pPr>
      <w:r>
        <w:rPr>
          <w:rFonts w:ascii="Times New Roman" w:hAnsi="Times New Roman"/>
          <w:b w:val="0"/>
          <w:i w:val="0"/>
          <w:sz w:val="24"/>
        </w:rPr>
        <w:t xml:space="preserve">   3.4  Storage Architecture</w:t>
      </w:r>
      <w:r>
        <w:rPr>
          <w:rFonts w:ascii="Times New Roman" w:hAnsi="Times New Roman"/>
          <w:b w:val="0"/>
          <w:i w:val="0"/>
          <w:sz w:val="24"/>
        </w:rPr>
        <w:tab/>
        <w:t>11</w:t>
      </w:r>
    </w:p>
    <w:p>
      <w:pPr>
        <w:tabs>
          <w:tab w:pos="8352" w:val="left"/>
        </w:tabs>
        <w:spacing w:after="40"/>
      </w:pPr>
      <w:r>
        <w:rPr>
          <w:rFonts w:ascii="Times New Roman" w:hAnsi="Times New Roman"/>
          <w:b w:val="0"/>
          <w:i w:val="0"/>
          <w:sz w:val="24"/>
        </w:rPr>
        <w:t xml:space="preserve">   3.5  REST API Layer</w:t>
      </w:r>
      <w:r>
        <w:rPr>
          <w:rFonts w:ascii="Times New Roman" w:hAnsi="Times New Roman"/>
          <w:b w:val="0"/>
          <w:i w:val="0"/>
          <w:sz w:val="24"/>
        </w:rPr>
        <w:tab/>
        <w:t>12</w:t>
      </w:r>
    </w:p>
    <w:p>
      <w:pPr>
        <w:tabs>
          <w:tab w:pos="8352" w:val="left"/>
        </w:tabs>
        <w:spacing w:after="40"/>
      </w:pPr>
      <w:r>
        <w:rPr>
          <w:rFonts w:ascii="Times New Roman" w:hAnsi="Times New Roman"/>
          <w:b w:val="0"/>
          <w:i w:val="0"/>
          <w:sz w:val="24"/>
        </w:rPr>
        <w:t>CHAPTER 4: System Architecture</w:t>
      </w:r>
      <w:r>
        <w:rPr>
          <w:rFonts w:ascii="Times New Roman" w:hAnsi="Times New Roman"/>
          <w:b w:val="0"/>
          <w:i w:val="0"/>
          <w:sz w:val="24"/>
        </w:rPr>
        <w:tab/>
        <w:t>13</w:t>
      </w:r>
    </w:p>
    <w:p>
      <w:pPr>
        <w:tabs>
          <w:tab w:pos="8352" w:val="left"/>
        </w:tabs>
        <w:spacing w:after="40"/>
      </w:pPr>
      <w:r>
        <w:rPr>
          <w:rFonts w:ascii="Times New Roman" w:hAnsi="Times New Roman"/>
          <w:b w:val="0"/>
          <w:i w:val="0"/>
          <w:sz w:val="24"/>
        </w:rPr>
        <w:t>CHAPTER 5: Implementation</w:t>
      </w:r>
      <w:r>
        <w:rPr>
          <w:rFonts w:ascii="Times New Roman" w:hAnsi="Times New Roman"/>
          <w:b w:val="0"/>
          <w:i w:val="0"/>
          <w:sz w:val="24"/>
        </w:rPr>
        <w:tab/>
        <w:t>15</w:t>
      </w:r>
    </w:p>
    <w:p>
      <w:pPr>
        <w:tabs>
          <w:tab w:pos="8352" w:val="left"/>
        </w:tabs>
        <w:spacing w:after="40"/>
      </w:pPr>
      <w:r>
        <w:rPr>
          <w:rFonts w:ascii="Times New Roman" w:hAnsi="Times New Roman"/>
          <w:b w:val="0"/>
          <w:i w:val="0"/>
          <w:sz w:val="24"/>
        </w:rPr>
        <w:t xml:space="preserve">   5.1  Technology Stack</w:t>
      </w:r>
      <w:r>
        <w:rPr>
          <w:rFonts w:ascii="Times New Roman" w:hAnsi="Times New Roman"/>
          <w:b w:val="0"/>
          <w:i w:val="0"/>
          <w:sz w:val="24"/>
        </w:rPr>
        <w:tab/>
        <w:t>15</w:t>
      </w:r>
    </w:p>
    <w:p>
      <w:pPr>
        <w:tabs>
          <w:tab w:pos="8352" w:val="left"/>
        </w:tabs>
        <w:spacing w:after="40"/>
      </w:pPr>
      <w:r>
        <w:rPr>
          <w:rFonts w:ascii="Times New Roman" w:hAnsi="Times New Roman"/>
          <w:b w:val="0"/>
          <w:i w:val="0"/>
          <w:sz w:val="24"/>
        </w:rPr>
        <w:t xml:space="preserve">   5.2  Backend Modules</w:t>
      </w:r>
      <w:r>
        <w:rPr>
          <w:rFonts w:ascii="Times New Roman" w:hAnsi="Times New Roman"/>
          <w:b w:val="0"/>
          <w:i w:val="0"/>
          <w:sz w:val="24"/>
        </w:rPr>
        <w:tab/>
        <w:t>16</w:t>
      </w:r>
    </w:p>
    <w:p>
      <w:pPr>
        <w:tabs>
          <w:tab w:pos="8352" w:val="left"/>
        </w:tabs>
        <w:spacing w:after="40"/>
      </w:pPr>
      <w:r>
        <w:rPr>
          <w:rFonts w:ascii="Times New Roman" w:hAnsi="Times New Roman"/>
          <w:b w:val="0"/>
          <w:i w:val="0"/>
          <w:sz w:val="24"/>
        </w:rPr>
        <w:t xml:space="preserve">   5.3  Frontend Application</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 xml:space="preserve">   5.4  Deployment</w:t>
      </w:r>
      <w:r>
        <w:rPr>
          <w:rFonts w:ascii="Times New Roman" w:hAnsi="Times New Roman"/>
          <w:b w:val="0"/>
          <w:i w:val="0"/>
          <w:sz w:val="24"/>
        </w:rPr>
        <w:tab/>
        <w:t>19</w:t>
      </w:r>
    </w:p>
    <w:p>
      <w:pPr>
        <w:tabs>
          <w:tab w:pos="8352" w:val="left"/>
        </w:tabs>
        <w:spacing w:after="40"/>
      </w:pPr>
      <w:r>
        <w:rPr>
          <w:rFonts w:ascii="Times New Roman" w:hAnsi="Times New Roman"/>
          <w:b w:val="0"/>
          <w:i w:val="0"/>
          <w:sz w:val="24"/>
        </w:rPr>
        <w:t>CHAPTER 6: Results and Discussion</w:t>
      </w:r>
      <w:r>
        <w:rPr>
          <w:rFonts w:ascii="Times New Roman" w:hAnsi="Times New Roman"/>
          <w:b w:val="0"/>
          <w:i w:val="0"/>
          <w:sz w:val="24"/>
        </w:rPr>
        <w:tab/>
        <w:t>20</w:t>
      </w:r>
    </w:p>
    <w:p>
      <w:pPr>
        <w:tabs>
          <w:tab w:pos="8352" w:val="left"/>
        </w:tabs>
        <w:spacing w:after="40"/>
      </w:pPr>
      <w:r>
        <w:rPr>
          <w:rFonts w:ascii="Times New Roman" w:hAnsi="Times New Roman"/>
          <w:b w:val="0"/>
          <w:i w:val="0"/>
          <w:sz w:val="24"/>
        </w:rPr>
        <w:t>CHAPTER 7: Conclusion and Future Scope</w:t>
      </w:r>
      <w:r>
        <w:rPr>
          <w:rFonts w:ascii="Times New Roman" w:hAnsi="Times New Roman"/>
          <w:b w:val="0"/>
          <w:i w:val="0"/>
          <w:sz w:val="24"/>
        </w:rPr>
        <w:tab/>
        <w:t>24</w:t>
      </w:r>
    </w:p>
    <w:p>
      <w:pPr>
        <w:tabs>
          <w:tab w:pos="8352" w:val="left"/>
        </w:tabs>
        <w:spacing w:after="40"/>
      </w:pPr>
      <w:r>
        <w:rPr>
          <w:rFonts w:ascii="Times New Roman" w:hAnsi="Times New Roman"/>
          <w:b w:val="0"/>
          <w:i w:val="0"/>
          <w:sz w:val="24"/>
        </w:rPr>
        <w:t>References</w:t>
      </w:r>
      <w:r>
        <w:rPr>
          <w:rFonts w:ascii="Times New Roman" w:hAnsi="Times New Roman"/>
          <w:b w:val="0"/>
          <w:i w:val="0"/>
          <w:sz w:val="24"/>
        </w:rPr>
        <w:tab/>
        <w:t>26</w:t>
      </w:r>
    </w:p>
    <w:p>
      <w:r>
        <w:br w:type="page"/>
      </w:r>
    </w:p>
    <w:p>
      <w:pPr>
        <w:keepNext/>
        <w:spacing w:before="0" w:after="120"/>
        <w:jc w:val="left"/>
      </w:pPr>
      <w:r>
        <w:rPr>
          <w:rFonts w:ascii="Times New Roman" w:hAnsi="Times New Roman"/>
          <w:b/>
          <w:i w:val="0"/>
          <w:sz w:val="30"/>
        </w:rPr>
        <w:t>LIST OF FIGURES</w:t>
      </w:r>
    </w:p>
    <w:p>
      <w:pPr>
        <w:tabs>
          <w:tab w:pos="8352" w:val="left"/>
        </w:tabs>
        <w:spacing w:after="40"/>
      </w:pPr>
      <w:r>
        <w:rPr>
          <w:rFonts w:ascii="Times New Roman" w:hAnsi="Times New Roman"/>
          <w:b w:val="0"/>
          <w:i w:val="0"/>
          <w:sz w:val="24"/>
        </w:rPr>
        <w:t>Figure 1.1  —  Typical Regime Transitions in a Financial Market</w:t>
      </w:r>
      <w:r>
        <w:rPr>
          <w:rFonts w:ascii="Times New Roman" w:hAnsi="Times New Roman"/>
          <w:b w:val="0"/>
          <w:i w:val="0"/>
          <w:sz w:val="24"/>
        </w:rPr>
        <w:tab/>
        <w:t>2</w:t>
      </w:r>
    </w:p>
    <w:p>
      <w:pPr>
        <w:tabs>
          <w:tab w:pos="8352" w:val="left"/>
        </w:tabs>
        <w:spacing w:after="40"/>
      </w:pPr>
      <w:r>
        <w:rPr>
          <w:rFonts w:ascii="Times New Roman" w:hAnsi="Times New Roman"/>
          <w:b w:val="0"/>
          <w:i w:val="0"/>
          <w:sz w:val="24"/>
        </w:rPr>
        <w:t>Figure 3.1  —  System Block Diagram</w:t>
      </w:r>
      <w:r>
        <w:rPr>
          <w:rFonts w:ascii="Times New Roman" w:hAnsi="Times New Roman"/>
          <w:b w:val="0"/>
          <w:i w:val="0"/>
          <w:sz w:val="24"/>
        </w:rPr>
        <w:tab/>
        <w:t>7</w:t>
      </w:r>
    </w:p>
    <w:p>
      <w:pPr>
        <w:tabs>
          <w:tab w:pos="8352" w:val="left"/>
        </w:tabs>
        <w:spacing w:after="40"/>
      </w:pPr>
      <w:r>
        <w:rPr>
          <w:rFonts w:ascii="Times New Roman" w:hAnsi="Times New Roman"/>
          <w:b w:val="0"/>
          <w:i w:val="0"/>
          <w:sz w:val="24"/>
        </w:rPr>
        <w:t>Figure 3.2  —  Detection Engine Algorithm Flowchart</w:t>
      </w:r>
      <w:r>
        <w:rPr>
          <w:rFonts w:ascii="Times New Roman" w:hAnsi="Times New Roman"/>
          <w:b w:val="0"/>
          <w:i w:val="0"/>
          <w:sz w:val="24"/>
        </w:rPr>
        <w:tab/>
        <w:t>9</w:t>
      </w:r>
    </w:p>
    <w:p>
      <w:pPr>
        <w:tabs>
          <w:tab w:pos="8352" w:val="left"/>
        </w:tabs>
        <w:spacing w:after="40"/>
      </w:pPr>
      <w:r>
        <w:rPr>
          <w:rFonts w:ascii="Times New Roman" w:hAnsi="Times New Roman"/>
          <w:b w:val="0"/>
          <w:i w:val="0"/>
          <w:sz w:val="24"/>
        </w:rPr>
        <w:t>Figure 3.3  —  Dual-Layer Storage Architecture</w:t>
      </w:r>
      <w:r>
        <w:rPr>
          <w:rFonts w:ascii="Times New Roman" w:hAnsi="Times New Roman"/>
          <w:b w:val="0"/>
          <w:i w:val="0"/>
          <w:sz w:val="24"/>
        </w:rPr>
        <w:tab/>
        <w:t>11</w:t>
      </w:r>
    </w:p>
    <w:p>
      <w:pPr>
        <w:tabs>
          <w:tab w:pos="8352" w:val="left"/>
        </w:tabs>
        <w:spacing w:after="40"/>
      </w:pPr>
      <w:r>
        <w:rPr>
          <w:rFonts w:ascii="Times New Roman" w:hAnsi="Times New Roman"/>
          <w:b w:val="0"/>
          <w:i w:val="0"/>
          <w:sz w:val="24"/>
        </w:rPr>
        <w:t>Figure 4.1  —  Complete System Architecture Diagram</w:t>
      </w:r>
      <w:r>
        <w:rPr>
          <w:rFonts w:ascii="Times New Roman" w:hAnsi="Times New Roman"/>
          <w:b w:val="0"/>
          <w:i w:val="0"/>
          <w:sz w:val="24"/>
        </w:rPr>
        <w:tab/>
        <w:t>13</w:t>
      </w:r>
    </w:p>
    <w:p>
      <w:pPr>
        <w:tabs>
          <w:tab w:pos="8352" w:val="left"/>
        </w:tabs>
        <w:spacing w:after="40"/>
      </w:pPr>
      <w:r>
        <w:rPr>
          <w:rFonts w:ascii="Times New Roman" w:hAnsi="Times New Roman"/>
          <w:b w:val="0"/>
          <w:i w:val="0"/>
          <w:sz w:val="24"/>
        </w:rPr>
        <w:t>Figure 5.1  —  Deep Dive Dashboard — Live Interface</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Figure 5.2  —  Macro Screener — Six-Asset Matrix View</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Figure 5.3  —  MongoDB Atlas — Anomaly Ledger</w:t>
      </w:r>
      <w:r>
        <w:rPr>
          <w:rFonts w:ascii="Times New Roman" w:hAnsi="Times New Roman"/>
          <w:b w:val="0"/>
          <w:i w:val="0"/>
          <w:sz w:val="24"/>
        </w:rPr>
        <w:tab/>
        <w:t>19</w:t>
      </w:r>
    </w:p>
    <w:p>
      <w:pPr>
        <w:tabs>
          <w:tab w:pos="8352" w:val="left"/>
        </w:tabs>
        <w:spacing w:after="40"/>
      </w:pPr>
      <w:r>
        <w:rPr>
          <w:rFonts w:ascii="Times New Roman" w:hAnsi="Times New Roman"/>
          <w:b w:val="0"/>
          <w:i w:val="0"/>
          <w:sz w:val="24"/>
        </w:rPr>
        <w:t>Figure 6.1  —  Regime Timeline — BTC/USDT with Detected Regimes</w:t>
      </w:r>
      <w:r>
        <w:rPr>
          <w:rFonts w:ascii="Times New Roman" w:hAnsi="Times New Roman"/>
          <w:b w:val="0"/>
          <w:i w:val="0"/>
          <w:sz w:val="24"/>
        </w:rPr>
        <w:tab/>
        <w:t>20</w:t>
      </w:r>
    </w:p>
    <w:p>
      <w:pPr>
        <w:tabs>
          <w:tab w:pos="8352" w:val="left"/>
        </w:tabs>
        <w:spacing w:after="40"/>
      </w:pPr>
      <w:r>
        <w:rPr>
          <w:rFonts w:ascii="Times New Roman" w:hAnsi="Times New Roman"/>
          <w:b w:val="0"/>
          <w:i w:val="0"/>
          <w:sz w:val="24"/>
        </w:rPr>
        <w:t>Figure 6.2  —  PELT and ADWIN Algorithm Comparison</w:t>
      </w:r>
      <w:r>
        <w:rPr>
          <w:rFonts w:ascii="Times New Roman" w:hAnsi="Times New Roman"/>
          <w:b w:val="0"/>
          <w:i w:val="0"/>
          <w:sz w:val="24"/>
        </w:rPr>
        <w:tab/>
        <w:t>21</w:t>
      </w:r>
    </w:p>
    <w:p>
      <w:pPr>
        <w:tabs>
          <w:tab w:pos="8352" w:val="left"/>
        </w:tabs>
        <w:spacing w:after="40"/>
      </w:pPr>
      <w:r>
        <w:rPr>
          <w:rFonts w:ascii="Times New Roman" w:hAnsi="Times New Roman"/>
          <w:b w:val="0"/>
          <w:i w:val="0"/>
          <w:sz w:val="24"/>
        </w:rPr>
        <w:t>Figure 6.3  —  Multi-Asset Confidence Scores</w:t>
      </w:r>
      <w:r>
        <w:rPr>
          <w:rFonts w:ascii="Times New Roman" w:hAnsi="Times New Roman"/>
          <w:b w:val="0"/>
          <w:i w:val="0"/>
          <w:sz w:val="24"/>
        </w:rPr>
        <w:tab/>
        <w:t>22</w:t>
      </w:r>
    </w:p>
    <w:p>
      <w:pPr>
        <w:tabs>
          <w:tab w:pos="8352" w:val="left"/>
        </w:tabs>
        <w:spacing w:after="40"/>
      </w:pPr>
      <w:r>
        <w:rPr>
          <w:rFonts w:ascii="Times New Roman" w:hAnsi="Times New Roman"/>
          <w:b w:val="0"/>
          <w:i w:val="0"/>
          <w:sz w:val="24"/>
        </w:rPr>
        <w:t>Figure 6.4  —  System Performance Metrics</w:t>
      </w:r>
      <w:r>
        <w:rPr>
          <w:rFonts w:ascii="Times New Roman" w:hAnsi="Times New Roman"/>
          <w:b w:val="0"/>
          <w:i w:val="0"/>
          <w:sz w:val="24"/>
        </w:rPr>
        <w:tab/>
        <w:t>23</w:t>
      </w:r>
    </w:p>
    <w:p>
      <w:r>
        <w:br w:type="page"/>
      </w:r>
    </w:p>
    <w:p>
      <w:pPr>
        <w:keepNext/>
        <w:spacing w:before="0" w:after="120"/>
        <w:jc w:val="left"/>
      </w:pPr>
      <w:r>
        <w:rPr>
          <w:rFonts w:ascii="Times New Roman" w:hAnsi="Times New Roman"/>
          <w:b/>
          <w:i w:val="0"/>
          <w:sz w:val="30"/>
        </w:rPr>
        <w:t>CHAPTER 1: INTRODUCTION</w:t>
      </w:r>
    </w:p>
    <w:p>
      <w:pPr>
        <w:keepNext/>
        <w:spacing w:before="240" w:after="80"/>
        <w:jc w:val="left"/>
      </w:pPr>
      <w:r>
        <w:rPr>
          <w:rFonts w:ascii="Times New Roman" w:hAnsi="Times New Roman"/>
          <w:b/>
          <w:i w:val="0"/>
          <w:sz w:val="26"/>
        </w:rPr>
        <w:t>1.1  Background and Motivation</w:t>
      </w:r>
    </w:p>
    <w:p>
      <w:pPr>
        <w:spacing w:before="0" w:after="120"/>
        <w:jc w:val="both"/>
      </w:pPr>
      <w:r>
        <w:rPr>
          <w:rFonts w:ascii="Times New Roman" w:hAnsi="Times New Roman"/>
          <w:b w:val="0"/>
          <w:i w:val="0"/>
          <w:sz w:val="24"/>
        </w:rPr>
        <w:t>Modern financial markets are among the most complex dynamic systems ever studied. Unlike physical systems governed by deterministic laws, financial markets are shaped by the collective behaviour of millions of participants — each acting on partial information, emotional biases, and conflicting incentives. As a result, market prices do not follow a single consistent statistical process over time. Instead, they alternate between qualitatively different 'regimes': extended periods of low-volatility, trend-following behaviour punctuated by sudden transitions into erratic, high-volatility phases or sharp structural breaks.</w:t>
      </w:r>
    </w:p>
    <w:p>
      <w:pPr>
        <w:spacing w:before="0" w:after="120"/>
        <w:jc w:val="both"/>
      </w:pPr>
      <w:r>
        <w:rPr>
          <w:rFonts w:ascii="Times New Roman" w:hAnsi="Times New Roman"/>
          <w:b w:val="0"/>
          <w:i w:val="0"/>
          <w:sz w:val="24"/>
        </w:rPr>
        <w:t>The concept of a market regime shift refers to these meaningful transitions in the underlying data-generating process. A shift from a STABLE regime to a STRESSED regime might coincide with macroeconomic announcements, geopolitical events, liquidity crises, or coordinated large-scale selling pressure. Detecting such transitions early — before the full impact is priced in — gives market participants a critical informational advantage.</w:t>
      </w:r>
    </w:p>
    <w:p>
      <w:pPr>
        <w:spacing w:before="0" w:after="120"/>
        <w:jc w:val="both"/>
      </w:pPr>
      <w:r>
        <w:rPr>
          <w:rFonts w:ascii="Times New Roman" w:hAnsi="Times New Roman"/>
          <w:b w:val="0"/>
          <w:i w:val="0"/>
          <w:sz w:val="24"/>
        </w:rPr>
        <w:t>Cryptocurrency markets make for a particularly compelling domain in which to study regime shifts. They operate 24 hours a day, 7 days a week, across globally distributed exchanges, and are characterised by extreme volatility, rapid sentiment shifts, and frequent structural breaks. The availability of high-frequency, publicly accessible WebSocket data streams from exchanges like Binance makes these markets ideal for real-time monitoring experiments.</w:t>
      </w:r>
    </w:p>
    <w:p>
      <w:pPr>
        <w:keepNext/>
        <w:spacing w:before="240" w:after="80"/>
        <w:jc w:val="left"/>
      </w:pPr>
      <w:r>
        <w:rPr>
          <w:rFonts w:ascii="Times New Roman" w:hAnsi="Times New Roman"/>
          <w:b/>
          <w:i w:val="0"/>
          <w:sz w:val="26"/>
        </w:rPr>
        <w:t>1.2  Problem Definition</w:t>
      </w:r>
    </w:p>
    <w:p>
      <w:pPr>
        <w:spacing w:before="0" w:after="120"/>
        <w:jc w:val="both"/>
      </w:pPr>
      <w:r>
        <w:rPr>
          <w:rFonts w:ascii="Times New Roman" w:hAnsi="Times New Roman"/>
          <w:b w:val="0"/>
          <w:i w:val="0"/>
          <w:sz w:val="24"/>
        </w:rPr>
        <w:t>Despite the importance of regime detection, most existing approaches suffer from one or more of the following critical limitations:</w:t>
      </w:r>
    </w:p>
    <w:p>
      <w:pPr>
        <w:pStyle w:val="ListBullet"/>
        <w:spacing w:after="80"/>
        <w:jc w:val="both"/>
      </w:pPr>
      <w:r>
        <w:rPr>
          <w:rFonts w:ascii="Times New Roman" w:hAnsi="Times New Roman"/>
          <w:b w:val="0"/>
          <w:i w:val="0"/>
          <w:sz w:val="24"/>
        </w:rPr>
        <w:t>Batch-only processing: Traditional methods like Hidden Markov Models (HMMs) and Threshold GARCH models require large historical windows and cannot process data in real time, making them unsuitable for live trading environments.</w:t>
      </w:r>
    </w:p>
    <w:p>
      <w:pPr>
        <w:pStyle w:val="ListBullet"/>
        <w:spacing w:after="80"/>
        <w:jc w:val="both"/>
      </w:pPr>
      <w:r>
        <w:rPr>
          <w:rFonts w:ascii="Times New Roman" w:hAnsi="Times New Roman"/>
          <w:b w:val="0"/>
          <w:i w:val="0"/>
          <w:sz w:val="24"/>
        </w:rPr>
        <w:t>Deep learning dependency: Recent neural approaches (LSTMs, Transformers) achieve high accuracy but require massive labeled training datasets, GPU infrastructure costing thousands of dollars per month, and produce black-box outputs that are difficult to interpret or audit.</w:t>
      </w:r>
    </w:p>
    <w:p>
      <w:pPr>
        <w:pStyle w:val="ListBullet"/>
        <w:spacing w:after="80"/>
        <w:jc w:val="both"/>
      </w:pPr>
      <w:r>
        <w:rPr>
          <w:rFonts w:ascii="Times New Roman" w:hAnsi="Times New Roman"/>
          <w:b w:val="0"/>
          <w:i w:val="0"/>
          <w:sz w:val="24"/>
        </w:rPr>
        <w:t>Single-asset design: Most monitoring tools are designed for one instrument at a time, requiring separate infrastructure for each additional asset — a major scalability problem.</w:t>
      </w:r>
    </w:p>
    <w:p>
      <w:pPr>
        <w:pStyle w:val="ListBullet"/>
        <w:spacing w:after="80"/>
        <w:jc w:val="both"/>
      </w:pPr>
      <w:r>
        <w:rPr>
          <w:rFonts w:ascii="Times New Roman" w:hAnsi="Times New Roman"/>
          <w:b w:val="0"/>
          <w:i w:val="0"/>
          <w:sz w:val="24"/>
        </w:rPr>
        <w:t>Reactive rather than proactive: Rule-based threshold systems only alert after a significant price movement has already occurred, providing no early warning signal.</w:t>
      </w:r>
    </w:p>
    <w:p>
      <w:pPr>
        <w:spacing w:before="0" w:after="120"/>
        <w:jc w:val="both"/>
      </w:pPr>
      <w:r>
        <w:rPr>
          <w:rFonts w:ascii="Times New Roman" w:hAnsi="Times New Roman"/>
          <w:b w:val="0"/>
          <w:i w:val="0"/>
          <w:sz w:val="24"/>
        </w:rPr>
        <w:t>This project addresses all four problems simultaneously. It proposes a system that processes live multi-asset streams in real time using only classical statistical algorithms that are fast, interpretable, and deployable on a standard CPU without any GPU requirement.</w:t>
      </w:r>
    </w:p>
    <w:p>
      <w:pPr>
        <w:keepNext/>
        <w:spacing w:before="240" w:after="80"/>
        <w:jc w:val="left"/>
      </w:pPr>
      <w:r>
        <w:rPr>
          <w:rFonts w:ascii="Times New Roman" w:hAnsi="Times New Roman"/>
          <w:b/>
          <w:i w:val="0"/>
          <w:sz w:val="26"/>
        </w:rPr>
        <w:t>1.3  Scope of the Project</w:t>
      </w:r>
    </w:p>
    <w:p>
      <w:pPr>
        <w:spacing w:before="0" w:after="120"/>
        <w:jc w:val="both"/>
      </w:pPr>
      <w:r>
        <w:rPr>
          <w:rFonts w:ascii="Times New Roman" w:hAnsi="Times New Roman"/>
          <w:b w:val="0"/>
          <w:i w:val="0"/>
          <w:sz w:val="24"/>
        </w:rPr>
        <w:t>The scope of this project encompasses the complete design, implementation, and deployment of a real-time financial monitoring platform. Specifically, the system:</w:t>
      </w:r>
    </w:p>
    <w:p>
      <w:pPr>
        <w:pStyle w:val="ListBullet"/>
        <w:spacing w:after="80"/>
        <w:jc w:val="both"/>
      </w:pPr>
      <w:r>
        <w:rPr>
          <w:rFonts w:ascii="Times New Roman" w:hAnsi="Times New Roman"/>
          <w:b w:val="0"/>
          <w:i w:val="0"/>
          <w:sz w:val="24"/>
        </w:rPr>
        <w:t>Ingests live trade tick data for six cryptocurrency assets simultaneously via a single WebSocket connection to Binance</w:t>
      </w:r>
    </w:p>
    <w:p>
      <w:pPr>
        <w:pStyle w:val="ListBullet"/>
        <w:spacing w:after="80"/>
        <w:jc w:val="both"/>
      </w:pPr>
      <w:r>
        <w:rPr>
          <w:rFonts w:ascii="Times New Roman" w:hAnsi="Times New Roman"/>
          <w:b w:val="0"/>
          <w:i w:val="0"/>
          <w:sz w:val="24"/>
        </w:rPr>
        <w:t>Classifies each asset into one of three regime states every 60 seconds: STABLE, TRANSITIONING, or STRESSED</w:t>
      </w:r>
    </w:p>
    <w:p>
      <w:pPr>
        <w:pStyle w:val="ListBullet"/>
        <w:spacing w:after="80"/>
        <w:jc w:val="both"/>
      </w:pPr>
      <w:r>
        <w:rPr>
          <w:rFonts w:ascii="Times New Roman" w:hAnsi="Times New Roman"/>
          <w:b w:val="0"/>
          <w:i w:val="0"/>
          <w:sz w:val="24"/>
        </w:rPr>
        <w:t>Stores regime events in a dual-layer storage system (Redis for speed, MongoDB Atlas for permanence)</w:t>
      </w:r>
    </w:p>
    <w:p>
      <w:pPr>
        <w:pStyle w:val="ListBullet"/>
        <w:spacing w:after="80"/>
        <w:jc w:val="both"/>
      </w:pPr>
      <w:r>
        <w:rPr>
          <w:rFonts w:ascii="Times New Roman" w:hAnsi="Times New Roman"/>
          <w:b w:val="0"/>
          <w:i w:val="0"/>
          <w:sz w:val="24"/>
        </w:rPr>
        <w:t>Exposes the data via a FastAPI REST interface polled by a Next.js dashboard</w:t>
      </w:r>
    </w:p>
    <w:p>
      <w:pPr>
        <w:pStyle w:val="ListBullet"/>
        <w:spacing w:after="80"/>
        <w:jc w:val="both"/>
      </w:pPr>
      <w:r>
        <w:rPr>
          <w:rFonts w:ascii="Times New Roman" w:hAnsi="Times New Roman"/>
          <w:b w:val="0"/>
          <w:i w:val="0"/>
          <w:sz w:val="24"/>
        </w:rPr>
        <w:t>Deploys the entire stack as a single Docker container to Hugging Face Spaces for public cloud access</w:t>
      </w:r>
    </w:p>
    <w:p>
      <w:pPr>
        <w:keepNext/>
        <w:spacing w:before="240" w:after="80"/>
        <w:jc w:val="left"/>
      </w:pPr>
      <w:r>
        <w:rPr>
          <w:rFonts w:ascii="Times New Roman" w:hAnsi="Times New Roman"/>
          <w:b/>
          <w:i w:val="0"/>
          <w:sz w:val="26"/>
        </w:rPr>
        <w:t>1.4  Organisation of the Report</w:t>
      </w:r>
    </w:p>
    <w:p>
      <w:pPr>
        <w:spacing w:before="0" w:after="120"/>
        <w:jc w:val="both"/>
      </w:pPr>
      <w:r>
        <w:rPr>
          <w:rFonts w:ascii="Times New Roman" w:hAnsi="Times New Roman"/>
          <w:b w:val="0"/>
          <w:i w:val="0"/>
          <w:sz w:val="24"/>
        </w:rPr>
        <w:t>The remainder of this report is structured as follows. Chapter 2 presents a review of related literature on change-point detection, online learning, and financial regime modelling. Chapter 3 describes the proposed methodology in detail, covering each component of the pipeline. Chapter 4 presents the full system architecture. Chapter 5 documents the implementation, including the technology stack, module design, and deployment approach. Chapter 6 presents the results and discusses the system's behaviour. Chapter 7 concludes the report with a summary of achievements and directions for future work.</w:t>
      </w:r>
    </w:p>
    <w:p>
      <w:r>
        <w:br w:type="page"/>
      </w:r>
    </w:p>
    <w:p>
      <w:pPr>
        <w:keepNext/>
        <w:spacing w:before="0" w:after="120"/>
        <w:jc w:val="left"/>
      </w:pPr>
      <w:r>
        <w:rPr>
          <w:rFonts w:ascii="Times New Roman" w:hAnsi="Times New Roman"/>
          <w:b/>
          <w:i w:val="0"/>
          <w:sz w:val="30"/>
        </w:rPr>
        <w:t>CHAPTER 2: LITERATURE SURVEY</w:t>
      </w:r>
    </w:p>
    <w:p>
      <w:pPr>
        <w:spacing w:before="0" w:after="120"/>
        <w:jc w:val="both"/>
      </w:pPr>
      <w:r>
        <w:rPr>
          <w:rFonts w:ascii="Times New Roman" w:hAnsi="Times New Roman"/>
          <w:b w:val="0"/>
          <w:i w:val="0"/>
          <w:sz w:val="24"/>
        </w:rPr>
        <w:t>A substantial body of research has addressed the problem of detecting structural changes and regime shifts in financial time series. The following survey reviews five key works that are most directly relevant to the approach taken in this project.</w:t>
      </w:r>
    </w:p>
    <w:p>
      <w:pPr>
        <w:keepNext/>
        <w:spacing w:before="240" w:after="80"/>
        <w:jc w:val="left"/>
      </w:pPr>
      <w:r>
        <w:rPr>
          <w:rFonts w:ascii="Times New Roman" w:hAnsi="Times New Roman"/>
          <w:b/>
          <w:i w:val="0"/>
          <w:sz w:val="26"/>
        </w:rPr>
        <w:t>Paper 1: PELT — Exact and Efficient Inference of Change-Point Positions</w:t>
      </w:r>
    </w:p>
    <w:p>
      <w:pPr>
        <w:spacing w:before="0" w:after="120"/>
        <w:jc w:val="both"/>
      </w:pPr>
      <w:r>
        <w:rPr>
          <w:rFonts w:ascii="Times New Roman" w:hAnsi="Times New Roman"/>
          <w:b w:val="0"/>
          <w:i/>
          <w:sz w:val="22"/>
        </w:rPr>
        <w:t>Killick, R., Fearnhead, P., &amp; Eckley, I. A. (2012). Optimal Detection of Changepoints with a Linear Computational Cost. Journal of the American Statistical Association, 107(500), 1590–1598.</w:t>
      </w:r>
    </w:p>
    <w:p>
      <w:pPr>
        <w:spacing w:before="0" w:after="120"/>
        <w:jc w:val="both"/>
      </w:pPr>
      <w:r>
        <w:rPr>
          <w:rFonts w:ascii="Times New Roman" w:hAnsi="Times New Roman"/>
          <w:b w:val="0"/>
          <w:i w:val="0"/>
          <w:sz w:val="24"/>
        </w:rPr>
        <w:t>This foundational paper introduces the Pruned Exact Linear Time (PELT) algorithm, which detects an optimal set of change-points in a time series with linear computational cost — a significant improvement over earlier methods with quadratic or cubic complexity. PELT works by minimising a penalised cost function over all possible segmentations of the time series. The key insight is a pruning rule that eliminates suboptimal segmentation candidates at each step, ensuring exact results without exhaustive search. This work directly motivates our use of the ruptures library's PELT implementation in the detection engine, particularly its ability to handle the non-stationarity of short financial return windows.</w:t>
      </w:r>
    </w:p>
    <w:p>
      <w:pPr>
        <w:keepNext/>
        <w:spacing w:before="240" w:after="80"/>
        <w:jc w:val="left"/>
      </w:pPr>
      <w:r>
        <w:rPr>
          <w:rFonts w:ascii="Times New Roman" w:hAnsi="Times New Roman"/>
          <w:b/>
          <w:i w:val="0"/>
          <w:sz w:val="26"/>
        </w:rPr>
        <w:t>Paper 2: ADWIN — A Learning Algorithm for Changing Environments</w:t>
      </w:r>
    </w:p>
    <w:p>
      <w:pPr>
        <w:spacing w:before="0" w:after="120"/>
        <w:jc w:val="both"/>
      </w:pPr>
      <w:r>
        <w:rPr>
          <w:rFonts w:ascii="Times New Roman" w:hAnsi="Times New Roman"/>
          <w:b w:val="0"/>
          <w:i/>
          <w:sz w:val="22"/>
        </w:rPr>
        <w:t>Bifet, A., &amp; Gavalda, R. (2007). Learning from Time-Changing Data with Adaptive Windowing. Proceedings of the 2007 SIAM International Conference on Data Mining.</w:t>
      </w:r>
    </w:p>
    <w:p>
      <w:pPr>
        <w:spacing w:before="0" w:after="120"/>
        <w:jc w:val="both"/>
      </w:pPr>
      <w:r>
        <w:rPr>
          <w:rFonts w:ascii="Times New Roman" w:hAnsi="Times New Roman"/>
          <w:b w:val="0"/>
          <w:i w:val="0"/>
          <w:sz w:val="24"/>
        </w:rPr>
        <w:t>This paper introduces the ADWIN (Adaptive Windowing) algorithm for concept drift detection in streaming data. ADWIN maintains a variable-size sliding window over the data stream and continuously tests whether the statistical distribution within any two sub-windows of the current window has changed significantly. When drift is detected, ADWIN automatically shrinks its window to adapt to the new distribution. The algorithm provides formal guarantees on both false positive and detection delay rates. This work is the direct theoretical foundation for the ADWIN component of our ensemble engine, implemented via the river library.</w:t>
      </w:r>
    </w:p>
    <w:p>
      <w:pPr>
        <w:keepNext/>
        <w:spacing w:before="240" w:after="80"/>
        <w:jc w:val="left"/>
      </w:pPr>
      <w:r>
        <w:rPr>
          <w:rFonts w:ascii="Times New Roman" w:hAnsi="Times New Roman"/>
          <w:b/>
          <w:i w:val="0"/>
          <w:sz w:val="26"/>
        </w:rPr>
        <w:t>Paper 3: Online Learning for Financial Market Prediction</w:t>
      </w:r>
    </w:p>
    <w:p>
      <w:pPr>
        <w:spacing w:before="0" w:after="120"/>
        <w:jc w:val="both"/>
      </w:pPr>
      <w:r>
        <w:rPr>
          <w:rFonts w:ascii="Times New Roman" w:hAnsi="Times New Roman"/>
          <w:b w:val="0"/>
          <w:i/>
          <w:sz w:val="22"/>
        </w:rPr>
        <w:t>Ross, G. J., Tasoulis, D. K., &amp; Adams, N. M. (2011). Nonparametric Monitoring of Data Streams for Changes in Location and Scale. Technometrics, 53(4), 379–389.</w:t>
      </w:r>
    </w:p>
    <w:p>
      <w:pPr>
        <w:spacing w:before="0" w:after="120"/>
        <w:jc w:val="both"/>
      </w:pPr>
      <w:r>
        <w:rPr>
          <w:rFonts w:ascii="Times New Roman" w:hAnsi="Times New Roman"/>
          <w:b w:val="0"/>
          <w:i w:val="0"/>
          <w:sz w:val="24"/>
        </w:rPr>
        <w:t>Ross et al. propose nonparametric sequential testing procedures for detecting shifts in both location (mean) and scale (variance) of streaming data — exactly the two types of changes that characterise financial regime transitions. Their work demonstrates that change-point methods designed for batch data can be adapted for online streaming scenarios without significant performance degradation, provided that the test statistic is correctly normalised. This supports our decision to compute tick-to-tick returns (differences) rather than raw prices before applying detection algorithms, which normalises the scale across assets.</w:t>
      </w:r>
    </w:p>
    <w:p>
      <w:pPr>
        <w:keepNext/>
        <w:spacing w:before="240" w:after="80"/>
        <w:jc w:val="left"/>
      </w:pPr>
      <w:r>
        <w:rPr>
          <w:rFonts w:ascii="Times New Roman" w:hAnsi="Times New Roman"/>
          <w:b/>
          <w:i w:val="0"/>
          <w:sz w:val="26"/>
        </w:rPr>
        <w:t>Paper 4: Redis as an In-Memory Data Store for Real-Time Analytics</w:t>
      </w:r>
    </w:p>
    <w:p>
      <w:pPr>
        <w:spacing w:before="0" w:after="120"/>
        <w:jc w:val="both"/>
      </w:pPr>
      <w:r>
        <w:rPr>
          <w:rFonts w:ascii="Times New Roman" w:hAnsi="Times New Roman"/>
          <w:b w:val="0"/>
          <w:i/>
          <w:sz w:val="22"/>
        </w:rPr>
        <w:t>Sanfilippo, S. (2009). Redis: Remote Dictionary Server. redis.io. Open-source software documentation.</w:t>
      </w:r>
    </w:p>
    <w:p>
      <w:pPr>
        <w:spacing w:before="0" w:after="120"/>
        <w:jc w:val="both"/>
      </w:pPr>
      <w:r>
        <w:rPr>
          <w:rFonts w:ascii="Times New Roman" w:hAnsi="Times New Roman"/>
          <w:b w:val="0"/>
          <w:i w:val="0"/>
          <w:sz w:val="24"/>
        </w:rPr>
        <w:t>Redis is an open-source, in-memory key-value data store designed for sub-millisecond data access. Its support for rich data structures (strings, hashes, sets, sorted sets), publish-subscribe channels, and atomic operations makes it particularly well-suited for real-time financial analytics pipelines. Several quantitative trading firms use Redis as a low-latency state cache between their data ingestion and signal generation layers. In our system, Redis stores the most recent regime state of each asset as a JSON hash, ensuring that FastAPI can respond to dashboard poll requests in microseconds.</w:t>
      </w:r>
    </w:p>
    <w:p>
      <w:pPr>
        <w:keepNext/>
        <w:spacing w:before="240" w:after="80"/>
        <w:jc w:val="left"/>
      </w:pPr>
      <w:r>
        <w:rPr>
          <w:rFonts w:ascii="Times New Roman" w:hAnsi="Times New Roman"/>
          <w:b/>
          <w:i w:val="0"/>
          <w:sz w:val="26"/>
        </w:rPr>
        <w:t>Paper 5: Ensemble Methods for Robust Time Series Classification</w:t>
      </w:r>
    </w:p>
    <w:p>
      <w:pPr>
        <w:spacing w:before="0" w:after="120"/>
        <w:jc w:val="both"/>
      </w:pPr>
      <w:r>
        <w:rPr>
          <w:rFonts w:ascii="Times New Roman" w:hAnsi="Times New Roman"/>
          <w:b w:val="0"/>
          <w:i/>
          <w:sz w:val="22"/>
        </w:rPr>
        <w:t>Bagnall, A., Lines, J., Bostrom, A., Large, J., &amp; Keogh, E. (2017). The Great Time Series Classification Bake Off: A Review and Experimental Evaluation. Data Mining and Knowledge Discovery, 31(3), 606–660.</w:t>
      </w:r>
    </w:p>
    <w:p>
      <w:pPr>
        <w:spacing w:before="0" w:after="120"/>
        <w:jc w:val="both"/>
      </w:pPr>
      <w:r>
        <w:rPr>
          <w:rFonts w:ascii="Times New Roman" w:hAnsi="Times New Roman"/>
          <w:b w:val="0"/>
          <w:i w:val="0"/>
          <w:sz w:val="24"/>
        </w:rPr>
        <w:t>This landmark survey evaluated over 18 time series classification algorithms across 85 benchmark datasets and found that ensemble methods — those that combine the outputs of multiple classifiers — consistently outperformed any individual method. Critically, the study found that even simple voting-based ensembles of moderate-quality classifiers outperformed more complex single-algorithm approaches. This finding directly motivates our design decision to combine PELT and ADWIN in a voting ensemble rather than relying on either algorithm alone, and further supports the 3-window majority vote mechanism in the RegimeTracker module.</w:t>
      </w:r>
    </w:p>
    <w:p>
      <w:r>
        <w:br w:type="page"/>
      </w:r>
    </w:p>
    <w:p>
      <w:pPr>
        <w:keepNext/>
        <w:spacing w:before="0" w:after="120"/>
        <w:jc w:val="left"/>
      </w:pPr>
      <w:r>
        <w:rPr>
          <w:rFonts w:ascii="Times New Roman" w:hAnsi="Times New Roman"/>
          <w:b/>
          <w:i w:val="0"/>
          <w:sz w:val="30"/>
        </w:rPr>
        <w:t>CHAPTER 3: PROPOSED METHODOLOGY</w:t>
      </w:r>
    </w:p>
    <w:p>
      <w:pPr>
        <w:spacing w:before="0" w:after="120"/>
        <w:jc w:val="both"/>
      </w:pPr>
      <w:r>
        <w:rPr>
          <w:rFonts w:ascii="Times New Roman" w:hAnsi="Times New Roman"/>
          <w:b w:val="0"/>
          <w:i w:val="0"/>
          <w:sz w:val="24"/>
        </w:rPr>
        <w:t>The proposed methodology consists of five tightly integrated stages: data ingestion, feature engineering, ensemble detection, storage, and API serving. Each stage is designed to operate with minimal latency while remaining stateless and horizontally scalable.</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block_diagram_system_1776361934802.png"/>
                    <pic:cNvPicPr/>
                  </pic:nvPicPr>
                  <pic:blipFill>
                    <a:blip r:embed="rId10"/>
                    <a:stretch>
                      <a:fillRect/>
                    </a:stretch>
                  </pic:blipFill>
                  <pic:spPr>
                    <a:xfrm>
                      <a:off x="0" y="0"/>
                      <a:ext cx="4572000" cy="4572000"/>
                    </a:xfrm>
                    <a:prstGeom prst="rect"/>
                  </pic:spPr>
                </pic:pic>
              </a:graphicData>
            </a:graphic>
          </wp:inline>
        </w:drawing>
      </w:r>
    </w:p>
    <w:p>
      <w:pPr>
        <w:spacing w:after="240"/>
        <w:jc w:val="center"/>
      </w:pPr>
      <w:r>
        <w:rPr>
          <w:rFonts w:ascii="Times New Roman" w:hAnsi="Times New Roman"/>
          <w:b w:val="0"/>
          <w:i/>
          <w:sz w:val="22"/>
        </w:rPr>
        <w:t>Figure 3.1: System Block Diagram</w:t>
      </w:r>
    </w:p>
    <w:p>
      <w:pPr>
        <w:keepNext/>
        <w:spacing w:before="240" w:after="80"/>
        <w:jc w:val="left"/>
      </w:pPr>
      <w:r>
        <w:rPr>
          <w:rFonts w:ascii="Times New Roman" w:hAnsi="Times New Roman"/>
          <w:b/>
          <w:i w:val="0"/>
          <w:sz w:val="26"/>
        </w:rPr>
        <w:t>3.1  Data Ingestion Pipeline</w:t>
      </w:r>
    </w:p>
    <w:p>
      <w:pPr>
        <w:spacing w:before="0" w:after="120"/>
        <w:jc w:val="both"/>
      </w:pPr>
      <w:r>
        <w:rPr>
          <w:rFonts w:ascii="Times New Roman" w:hAnsi="Times New Roman"/>
          <w:b w:val="0"/>
          <w:i w:val="0"/>
          <w:sz w:val="24"/>
        </w:rPr>
        <w:t>The ingestion pipeline establishes a persistent WebSocket connection to Binance's public combined stream endpoint, which multiplexes trade events for all six assets over a single TCP connection. The URL follows the format:</w:t>
      </w:r>
    </w:p>
    <w:p>
      <w:pPr>
        <w:spacing w:after="120"/>
      </w:pPr>
      <w:r>
        <w:rPr>
          <w:rFonts w:ascii="Courier New" w:hAnsi="Courier New"/>
          <w:b w:val="0"/>
          <w:i w:val="0"/>
          <w:sz w:val="22"/>
        </w:rPr>
        <w:t>wss://stream.binance.com:9443/stream?streams=btcusdt@trade/ethusdt@trade/...</w:t>
      </w:r>
    </w:p>
    <w:p>
      <w:pPr>
        <w:spacing w:before="0" w:after="120"/>
        <w:jc w:val="both"/>
      </w:pPr>
      <w:r>
        <w:rPr>
          <w:rFonts w:ascii="Times New Roman" w:hAnsi="Times New Roman"/>
          <w:b w:val="0"/>
          <w:i w:val="0"/>
          <w:sz w:val="24"/>
        </w:rPr>
        <w:t>Each incoming message is a JSON object containing a stream identifier, the asset symbol, the trade price, quantity, and timestamp. The Binance Adapter normalises these messages into a standard internal format and routes them to the appropriate per-asset queue managed by the Stream Manager. The Stream Manager maintains one Window Builder instance per asset, which accumulates price observations into 60-second tumbling windows.</w:t>
      </w:r>
    </w:p>
    <w:p>
      <w:pPr>
        <w:spacing w:before="0" w:after="120"/>
        <w:jc w:val="both"/>
      </w:pPr>
      <w:r>
        <w:rPr>
          <w:rFonts w:ascii="Times New Roman" w:hAnsi="Times New Roman"/>
          <w:b w:val="0"/>
          <w:i w:val="0"/>
          <w:sz w:val="24"/>
        </w:rPr>
        <w:t>The choice of 60-second windows represents a deliberate trade-off between detection latency and statistical robustness. Shorter windows (e.g., 10 seconds) would produce insufficient data points for reliable change-point detection, generating excessive false positives. Longer windows (e.g., 5 minutes) would delay detection unacceptably. At typical Binance trade rates of ~40–50 ticks per second for BTC/USDT, a 60-second window yields approximately 2,500–3,000 price observations — sufficient for both algorithms to operate with statistical confidence.</w:t>
      </w:r>
    </w:p>
    <w:p>
      <w:pPr>
        <w:keepNext/>
        <w:spacing w:before="240" w:after="80"/>
        <w:jc w:val="left"/>
      </w:pPr>
      <w:r>
        <w:rPr>
          <w:rFonts w:ascii="Times New Roman" w:hAnsi="Times New Roman"/>
          <w:b/>
          <w:i w:val="0"/>
          <w:sz w:val="26"/>
        </w:rPr>
        <w:t>3.2  Feature Engineering</w:t>
      </w:r>
    </w:p>
    <w:p>
      <w:pPr>
        <w:spacing w:before="0" w:after="120"/>
        <w:jc w:val="both"/>
      </w:pPr>
      <w:r>
        <w:rPr>
          <w:rFonts w:ascii="Times New Roman" w:hAnsi="Times New Roman"/>
          <w:b w:val="0"/>
          <w:i w:val="0"/>
          <w:sz w:val="24"/>
        </w:rPr>
        <w:t>Raw absolute prices are highly non-stationary — a price of $71,000 for BTC and $0.25 for ADA would produce wildly different signal magnitudes if fed directly into detection algorithms. To address this, the system converts each window of absolute prices into a series of first-order differences (tick-to-tick returns):</w:t>
      </w:r>
    </w:p>
    <w:p>
      <w:pPr>
        <w:spacing w:after="160"/>
        <w:jc w:val="center"/>
      </w:pPr>
      <w:r>
        <w:rPr>
          <w:rFonts w:ascii="Times New Roman" w:hAnsi="Times New Roman"/>
          <w:b w:val="0"/>
          <w:i/>
          <w:sz w:val="24"/>
        </w:rPr>
        <w:t>r_t  =  p_t  −  p_(t−1)   for all t in the window</w:t>
      </w:r>
    </w:p>
    <w:p>
      <w:pPr>
        <w:spacing w:before="0" w:after="120"/>
        <w:jc w:val="both"/>
      </w:pPr>
      <w:r>
        <w:rPr>
          <w:rFonts w:ascii="Times New Roman" w:hAnsi="Times New Roman"/>
          <w:b w:val="0"/>
          <w:i w:val="0"/>
          <w:sz w:val="24"/>
        </w:rPr>
        <w:t>This transformation has two important properties: (1) it makes the signal approximately stationary, allowing change-point algorithms to assume a stable within-segment distribution, and (2) it places all six assets on a comparable scale of price movement speed rather than absolute price level. A BTC return of +$50 and an ADA return of +$0.001 both represent approximately the same fractional move within their respective price scales.</w:t>
      </w:r>
    </w:p>
    <w:p>
      <w:pPr>
        <w:keepNext/>
        <w:spacing w:before="240" w:after="80"/>
        <w:jc w:val="left"/>
      </w:pPr>
      <w:r>
        <w:rPr>
          <w:rFonts w:ascii="Times New Roman" w:hAnsi="Times New Roman"/>
          <w:b/>
          <w:i w:val="0"/>
          <w:sz w:val="26"/>
        </w:rPr>
        <w:t>3.3  Ensemble Detection Engine</w:t>
      </w:r>
    </w:p>
    <w:p>
      <w:pPr>
        <w:spacing w:before="0" w:after="120"/>
        <w:jc w:val="both"/>
      </w:pPr>
      <w:r>
        <w:rPr>
          <w:rFonts w:ascii="Times New Roman" w:hAnsi="Times New Roman"/>
          <w:b w:val="0"/>
          <w:i w:val="0"/>
          <w:sz w:val="24"/>
        </w:rPr>
        <w:t>The core of the system is a dual-algorithm ensemble detection engine that combines complementary offline and online change-point detection approaches.</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block_diagram_detection_1776361951863.png"/>
                    <pic:cNvPicPr/>
                  </pic:nvPicPr>
                  <pic:blipFill>
                    <a:blip r:embed="rId11"/>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sz w:val="22"/>
        </w:rPr>
        <w:t>Figure 3.2: Detection Engine Algorithm Flowchart</w:t>
      </w:r>
    </w:p>
    <w:p>
      <w:pPr>
        <w:spacing w:before="0" w:after="40"/>
        <w:jc w:val="both"/>
      </w:pPr>
      <w:r>
        <w:rPr>
          <w:rFonts w:ascii="Times New Roman" w:hAnsi="Times New Roman"/>
          <w:b/>
          <w:i w:val="0"/>
          <w:sz w:val="24"/>
        </w:rPr>
        <w:t>PELT Algorithm (Offline Change-Point Detection):</w:t>
      </w:r>
    </w:p>
    <w:p>
      <w:pPr>
        <w:spacing w:before="0" w:after="120"/>
        <w:jc w:val="both"/>
      </w:pPr>
      <w:r>
        <w:rPr>
          <w:rFonts w:ascii="Times New Roman" w:hAnsi="Times New Roman"/>
          <w:b w:val="0"/>
          <w:i w:val="0"/>
          <w:sz w:val="24"/>
        </w:rPr>
        <w:t>The Pruned Exact Linear Time (PELT) algorithm, implemented via the ruptures Python library, is applied to the full batch of returns in each 60-second window. PELT solves the penalised segmentation problem: it finds the partition of the time series that minimises the sum of within-segment squared deviations, penalised by a constant for each additional change-point introduced. The penalty parameter is set to 30.0, deliberately high to prevent over-segmentation of normal market noise. PELT raises a STRESSED vote if it detects at least one significant structural breakpoint in the return series.</w:t>
      </w:r>
    </w:p>
    <w:p>
      <w:pPr>
        <w:spacing w:before="0" w:after="40"/>
        <w:jc w:val="both"/>
      </w:pPr>
      <w:r>
        <w:rPr>
          <w:rFonts w:ascii="Times New Roman" w:hAnsi="Times New Roman"/>
          <w:b/>
          <w:i w:val="0"/>
          <w:sz w:val="24"/>
        </w:rPr>
        <w:t>ADWIN Algorithm (Online Drift Detection):</w:t>
      </w:r>
    </w:p>
    <w:p>
      <w:pPr>
        <w:spacing w:before="0" w:after="120"/>
        <w:jc w:val="both"/>
      </w:pPr>
      <w:r>
        <w:rPr>
          <w:rFonts w:ascii="Times New Roman" w:hAnsi="Times New Roman"/>
          <w:b w:val="0"/>
          <w:i w:val="0"/>
          <w:sz w:val="24"/>
        </w:rPr>
        <w:t>The Adaptive Windowing (ADWIN) algorithm from the river library processes each price return as it arrives in the stream. ADWIN maintains a variable-length sliding window and continuously tests whether any two consecutive sub-windows have significantly different mean values. When the algorithm detects such a shift, it shrinks its internal window and raises a drift signal. ADWIN provides a complementary perspective to PELT because it operates online (no batch required) and is sensitive to gradual, persistent mean shifts rather than abrupt structural breaks.</w:t>
      </w:r>
    </w:p>
    <w:p>
      <w:pPr>
        <w:spacing w:before="0" w:after="40"/>
        <w:jc w:val="both"/>
      </w:pPr>
      <w:r>
        <w:rPr>
          <w:rFonts w:ascii="Times New Roman" w:hAnsi="Times New Roman"/>
          <w:b/>
          <w:i w:val="0"/>
          <w:sz w:val="24"/>
        </w:rPr>
        <w:t>RegimeTracker — 3-Window Majority Vote:</w:t>
      </w:r>
    </w:p>
    <w:p>
      <w:pPr>
        <w:spacing w:before="0" w:after="120"/>
        <w:jc w:val="both"/>
      </w:pPr>
      <w:r>
        <w:rPr>
          <w:rFonts w:ascii="Times New Roman" w:hAnsi="Times New Roman"/>
          <w:b w:val="0"/>
          <w:i w:val="0"/>
          <w:sz w:val="24"/>
        </w:rPr>
        <w:t>Both algorithms produce regime votes independently for each 60-second window. The RegimeTracker module maintains a rolling buffer of the last three window votes. The final regime assignment follows a conservative escalation rule:</w:t>
      </w:r>
    </w:p>
    <w:p>
      <w:pPr>
        <w:pStyle w:val="ListBullet"/>
        <w:spacing w:after="80"/>
        <w:jc w:val="both"/>
      </w:pPr>
      <w:r>
        <w:rPr>
          <w:rFonts w:ascii="Times New Roman" w:hAnsi="Times New Roman"/>
          <w:b w:val="0"/>
          <w:i w:val="0"/>
          <w:sz w:val="24"/>
        </w:rPr>
        <w:t>STABLE: Neither PELT nor ADWIN has raised an alert in any of the last 3 windows</w:t>
      </w:r>
    </w:p>
    <w:p>
      <w:pPr>
        <w:pStyle w:val="ListBullet"/>
        <w:spacing w:after="80"/>
        <w:jc w:val="both"/>
      </w:pPr>
      <w:r>
        <w:rPr>
          <w:rFonts w:ascii="Times New Roman" w:hAnsi="Times New Roman"/>
          <w:b w:val="0"/>
          <w:i w:val="0"/>
          <w:sz w:val="24"/>
        </w:rPr>
        <w:t>TRANSITIONING: At least one algorithm has raised an alert in the current or immediately preceding window</w:t>
      </w:r>
    </w:p>
    <w:p>
      <w:pPr>
        <w:pStyle w:val="ListBullet"/>
        <w:spacing w:after="80"/>
        <w:jc w:val="both"/>
      </w:pPr>
      <w:r>
        <w:rPr>
          <w:rFonts w:ascii="Times New Roman" w:hAnsi="Times New Roman"/>
          <w:b w:val="0"/>
          <w:i w:val="0"/>
          <w:sz w:val="24"/>
        </w:rPr>
        <w:t>STRESSED: Both PELT AND ADWIN have raised alerts in the same window, confirmed across 3 consecutive windows</w:t>
      </w:r>
    </w:p>
    <w:p>
      <w:pPr>
        <w:spacing w:before="0" w:after="120"/>
        <w:jc w:val="both"/>
      </w:pPr>
      <w:r>
        <w:rPr>
          <w:rFonts w:ascii="Times New Roman" w:hAnsi="Times New Roman"/>
          <w:b w:val="0"/>
          <w:i w:val="0"/>
          <w:sz w:val="24"/>
        </w:rPr>
        <w:t>This three-window confirmation requirement is the system's primary defence against spurious alerts triggered by momentary price fluctuations. A single anomalous second cannot escalate the regime — only sustained, consistently detected changes can.</w:t>
      </w:r>
    </w:p>
    <w:p>
      <w:pPr>
        <w:keepNext/>
        <w:spacing w:before="240" w:after="80"/>
        <w:jc w:val="left"/>
      </w:pPr>
      <w:r>
        <w:rPr>
          <w:rFonts w:ascii="Times New Roman" w:hAnsi="Times New Roman"/>
          <w:b/>
          <w:i w:val="0"/>
          <w:sz w:val="26"/>
        </w:rPr>
        <w:t>3.4  Storage Architecture</w:t>
      </w:r>
    </w:p>
    <w:p>
      <w:pPr>
        <w:spacing w:before="0" w:after="120"/>
        <w:jc w:val="both"/>
      </w:pPr>
      <w:r>
        <w:rPr>
          <w:rFonts w:ascii="Times New Roman" w:hAnsi="Times New Roman"/>
          <w:b w:val="0"/>
          <w:i w:val="0"/>
          <w:sz w:val="24"/>
        </w:rPr>
        <w:t>The system implements a dual-layer storage architecture that separates hot (real-time access) and cold (permanent historical) data into two purpose-built stores:</w:t>
      </w:r>
    </w:p>
    <w:p>
      <w:pPr>
        <w:spacing w:before="0" w:after="40"/>
        <w:jc w:val="both"/>
      </w:pPr>
      <w:r>
        <w:rPr>
          <w:rFonts w:ascii="Times New Roman" w:hAnsi="Times New Roman"/>
          <w:b/>
          <w:i w:val="0"/>
          <w:sz w:val="24"/>
        </w:rPr>
        <w:t>Redis — Hot Layer:</w:t>
      </w:r>
    </w:p>
    <w:p>
      <w:pPr>
        <w:spacing w:before="0" w:after="120"/>
        <w:jc w:val="both"/>
      </w:pPr>
      <w:r>
        <w:rPr>
          <w:rFonts w:ascii="Times New Roman" w:hAnsi="Times New Roman"/>
          <w:b w:val="0"/>
          <w:i w:val="0"/>
          <w:sz w:val="24"/>
        </w:rPr>
        <w:t>After every detection cycle, the current regime state of each asset is written to Redis as a JSON hash. Redis operates entirely in memory, producing sub-millisecond read/write latency — ensuring the FastAPI /api/state/all endpoint can serve the dashboard's 3-second poll cycle with negligible overhead. Redis also persists the serialized ADWIN model state so that drift detection can resume after a system restart without losing the learned distribution.</w:t>
      </w:r>
    </w:p>
    <w:p>
      <w:pPr>
        <w:spacing w:before="0" w:after="40"/>
        <w:jc w:val="both"/>
      </w:pPr>
      <w:r>
        <w:rPr>
          <w:rFonts w:ascii="Times New Roman" w:hAnsi="Times New Roman"/>
          <w:b/>
          <w:i w:val="0"/>
          <w:sz w:val="24"/>
        </w:rPr>
        <w:t>MongoDB Atlas — Cold Layer:</w:t>
      </w:r>
    </w:p>
    <w:p>
      <w:pPr>
        <w:spacing w:before="0" w:after="120"/>
        <w:jc w:val="both"/>
      </w:pPr>
      <w:r>
        <w:rPr>
          <w:rFonts w:ascii="Times New Roman" w:hAnsi="Times New Roman"/>
          <w:b w:val="0"/>
          <w:i w:val="0"/>
          <w:sz w:val="24"/>
        </w:rPr>
        <w:t>Every time a regime transitions to STRESSED or TRANSITIONING, a RegimeEvent document is asynchronously written to MongoDB Atlas. Each document contains the asset symbol, ISO timestamp, regime label, the triggering price value, and the individual algorithm votes. MongoDB Atlas is a fully managed cloud database service that provides automatic backups, global replication, and persistent storage — guaranteeing that no anomaly event is ever lost.</w:t>
      </w:r>
    </w:p>
    <w:p>
      <w:pPr>
        <w:keepNext/>
        <w:spacing w:before="240" w:after="80"/>
        <w:jc w:val="left"/>
      </w:pPr>
      <w:r>
        <w:rPr>
          <w:rFonts w:ascii="Times New Roman" w:hAnsi="Times New Roman"/>
          <w:b/>
          <w:i w:val="0"/>
          <w:sz w:val="26"/>
        </w:rPr>
        <w:t>3.5  REST API Layer</w:t>
      </w:r>
    </w:p>
    <w:p>
      <w:pPr>
        <w:spacing w:before="0" w:after="120"/>
        <w:jc w:val="both"/>
      </w:pPr>
      <w:r>
        <w:rPr>
          <w:rFonts w:ascii="Times New Roman" w:hAnsi="Times New Roman"/>
          <w:b w:val="0"/>
          <w:i w:val="0"/>
          <w:sz w:val="24"/>
        </w:rPr>
        <w:t>FastAPI — a high-performance Python web framework — exposes two REST endpoints that bridge the backend detection pipeline and the frontend dashboard:</w:t>
      </w:r>
    </w:p>
    <w:p>
      <w:pPr>
        <w:pStyle w:val="ListBullet"/>
        <w:spacing w:after="80"/>
        <w:jc w:val="both"/>
      </w:pPr>
      <w:r>
        <w:rPr>
          <w:rFonts w:ascii="Times New Roman" w:hAnsi="Times New Roman"/>
          <w:b w:val="0"/>
          <w:i w:val="0"/>
          <w:sz w:val="24"/>
        </w:rPr>
        <w:t>GET /api/state/all — Returns the current regime state, confidence score, and latest price for all six assets. Data source: Redis (hot layer). Typical response time: &lt;5ms.</w:t>
      </w:r>
    </w:p>
    <w:p>
      <w:pPr>
        <w:pStyle w:val="ListBullet"/>
        <w:spacing w:after="80"/>
        <w:jc w:val="both"/>
      </w:pPr>
      <w:r>
        <w:rPr>
          <w:rFonts w:ascii="Times New Roman" w:hAnsi="Times New Roman"/>
          <w:b w:val="0"/>
          <w:i w:val="0"/>
          <w:sz w:val="24"/>
        </w:rPr>
        <w:t>GET /api/history?limit=N — Returns the N most recent RegimeEvent records sorted by timestamp descending. Data source: MongoDB Atlas (cold layer). Typical response time: &lt;100ms.</w:t>
      </w:r>
    </w:p>
    <w:p>
      <w:pPr>
        <w:spacing w:before="0" w:after="120"/>
        <w:jc w:val="both"/>
      </w:pPr>
      <w:r>
        <w:rPr>
          <w:rFonts w:ascii="Times New Roman" w:hAnsi="Times New Roman"/>
          <w:b w:val="0"/>
          <w:i w:val="0"/>
          <w:sz w:val="24"/>
        </w:rPr>
        <w:t>Cross-Origin Resource Sharing (CORS) is explicitly enabled for all origins in the FastAPI configuration, allowing the Next.js frontend hosted on Hugging Face Spaces to communicate with the API regardless of where it is deployed.</w:t>
      </w:r>
    </w:p>
    <w:p>
      <w:r>
        <w:br w:type="page"/>
      </w:r>
    </w:p>
    <w:p>
      <w:pPr>
        <w:keepNext/>
        <w:spacing w:before="0" w:after="120"/>
        <w:jc w:val="left"/>
      </w:pPr>
      <w:r>
        <w:rPr>
          <w:rFonts w:ascii="Times New Roman" w:hAnsi="Times New Roman"/>
          <w:b/>
          <w:i w:val="0"/>
          <w:sz w:val="30"/>
        </w:rPr>
        <w:t>CHAPTER 4: SYSTEM ARCHITECTURE</w:t>
      </w:r>
    </w:p>
    <w:p>
      <w:pPr>
        <w:spacing w:before="0" w:after="120"/>
        <w:jc w:val="both"/>
      </w:pPr>
      <w:r>
        <w:rPr>
          <w:rFonts w:ascii="Times New Roman" w:hAnsi="Times New Roman"/>
          <w:b w:val="0"/>
          <w:i w:val="0"/>
          <w:sz w:val="24"/>
        </w:rPr>
        <w:t>The architecture of the Serverless Regime Shift Detection System follows a clean, layered design pattern where each layer has a single, well-defined responsibility. The five layers — Data Sources, Ingestion, Detection, Storage, and Presentation — are loosely coupled, making it straightforward to replace or upgrade any individual component without disrupting the rest of the system.</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regime_architecture_diagram_1776332695698.png"/>
                    <pic:cNvPicPr/>
                  </pic:nvPicPr>
                  <pic:blipFill>
                    <a:blip r:embed="rId12"/>
                    <a:stretch>
                      <a:fillRect/>
                    </a:stretch>
                  </pic:blipFill>
                  <pic:spPr>
                    <a:xfrm>
                      <a:off x="0" y="0"/>
                      <a:ext cx="5486400" cy="5486400"/>
                    </a:xfrm>
                    <a:prstGeom prst="rect"/>
                  </pic:spPr>
                </pic:pic>
              </a:graphicData>
            </a:graphic>
          </wp:inline>
        </w:drawing>
      </w:r>
    </w:p>
    <w:p>
      <w:pPr>
        <w:spacing w:after="240"/>
        <w:jc w:val="center"/>
      </w:pPr>
      <w:r>
        <w:rPr>
          <w:rFonts w:ascii="Times New Roman" w:hAnsi="Times New Roman"/>
          <w:b w:val="0"/>
          <w:i/>
          <w:sz w:val="22"/>
        </w:rPr>
        <w:t>Figure 4.1: Complete System Architecture Diagram</w:t>
      </w:r>
    </w:p>
    <w:p>
      <w:pPr>
        <w:spacing w:before="0" w:after="120"/>
        <w:jc w:val="both"/>
      </w:pPr>
      <w:r>
        <w:rPr>
          <w:rFonts w:ascii="Times New Roman" w:hAnsi="Times New Roman"/>
          <w:b w:val="0"/>
          <w:i w:val="0"/>
          <w:sz w:val="24"/>
        </w:rPr>
        <w:t>The Data Source Layer consists of Binance's WebSocket multiplexed stream, which provides a continuous feed of real transaction data from one of the world's largest cryptocurrency exchanges. This is a genuine, production-grade data source — not simulated or synthetic data — which gives the system its real-time character.</w:t>
      </w:r>
    </w:p>
    <w:p>
      <w:pPr>
        <w:spacing w:before="0" w:after="120"/>
        <w:jc w:val="both"/>
      </w:pPr>
      <w:r>
        <w:rPr>
          <w:rFonts w:ascii="Times New Roman" w:hAnsi="Times New Roman"/>
          <w:b w:val="0"/>
          <w:i w:val="0"/>
          <w:sz w:val="24"/>
        </w:rPr>
        <w:t>The Ingestion Layer's three components (Binance Adapter, Stream Manager, Window Builder) form a pipeline that transforms raw, unstructured trade messages into clean, fixed-size price windows ready for analysis. This layer runs as a persistent background process.</w:t>
      </w:r>
    </w:p>
    <w:p>
      <w:pPr>
        <w:spacing w:before="0" w:after="120"/>
        <w:jc w:val="both"/>
      </w:pPr>
      <w:r>
        <w:rPr>
          <w:rFonts w:ascii="Times New Roman" w:hAnsi="Times New Roman"/>
          <w:b w:val="0"/>
          <w:i w:val="0"/>
          <w:sz w:val="24"/>
        </w:rPr>
        <w:t>The Detection Layer is the intellectual core of the system. The PELT and ADWIN algorithms operate in parallel, each contributing an independent vote based on their respective detection mechanisms. The RegimeTracker then synthesises these votes using the 3-window confirmation buffer before writing results to storage.</w:t>
      </w:r>
    </w:p>
    <w:p>
      <w:pPr>
        <w:spacing w:before="0" w:after="120"/>
        <w:jc w:val="both"/>
      </w:pPr>
      <w:r>
        <w:rPr>
          <w:rFonts w:ascii="Times New Roman" w:hAnsi="Times New Roman"/>
          <w:b w:val="0"/>
          <w:i w:val="0"/>
          <w:sz w:val="24"/>
        </w:rPr>
        <w:t>The Storage Layer's dual-architecture ensures that the system is simultaneously fast (Redis for live data) and durable (MongoDB Atlas for historical records). This separation reflects a common pattern in production financial systems where hot and cold data have fundamentally different access patterns and retention requirements.</w:t>
      </w:r>
    </w:p>
    <w:p>
      <w:pPr>
        <w:spacing w:before="0" w:after="120"/>
        <w:jc w:val="both"/>
      </w:pPr>
      <w:r>
        <w:rPr>
          <w:rFonts w:ascii="Times New Roman" w:hAnsi="Times New Roman"/>
          <w:b w:val="0"/>
          <w:i w:val="0"/>
          <w:sz w:val="24"/>
        </w:rPr>
        <w:t>The Presentation Layer consists of the FastAPI REST interface and the Next.js frontend application. The frontend is containerized in Docker and deployed to Hugging Face Spaces, providing a globally accessible URL without requiring any local server setup from end users.</w:t>
      </w:r>
    </w:p>
    <w:p>
      <w:r>
        <w:br w:type="page"/>
      </w:r>
    </w:p>
    <w:p>
      <w:pPr>
        <w:keepNext/>
        <w:spacing w:before="0" w:after="120"/>
        <w:jc w:val="left"/>
      </w:pPr>
      <w:r>
        <w:rPr>
          <w:rFonts w:ascii="Times New Roman" w:hAnsi="Times New Roman"/>
          <w:b/>
          <w:i w:val="0"/>
          <w:sz w:val="30"/>
        </w:rPr>
        <w:t>CHAPTER 5: IMPLEMENTATION</w:t>
      </w:r>
    </w:p>
    <w:p>
      <w:pPr>
        <w:keepNext/>
        <w:spacing w:before="240" w:after="80"/>
        <w:jc w:val="left"/>
      </w:pPr>
      <w:r>
        <w:rPr>
          <w:rFonts w:ascii="Times New Roman" w:hAnsi="Times New Roman"/>
          <w:b/>
          <w:i w:val="0"/>
          <w:sz w:val="26"/>
        </w:rPr>
        <w:t>5.1  Technology Stack</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sz w:val="22"/>
              </w:rPr>
              <w:t>Component</w:t>
            </w:r>
          </w:p>
        </w:tc>
        <w:tc>
          <w:tcPr>
            <w:tcW w:type="dxa" w:w="3000"/>
          </w:tcPr>
          <w:p>
            <w:r>
              <w:rPr>
                <w:b/>
                <w:sz w:val="22"/>
              </w:rPr>
              <w:t>Technology</w:t>
            </w:r>
          </w:p>
        </w:tc>
        <w:tc>
          <w:tcPr>
            <w:tcW w:type="dxa" w:w="3000"/>
          </w:tcPr>
          <w:p>
            <w:r>
              <w:rPr>
                <w:b/>
                <w:sz w:val="22"/>
              </w:rPr>
              <w:t>Version / Details</w:t>
            </w:r>
          </w:p>
        </w:tc>
      </w:tr>
      <w:tr>
        <w:tc>
          <w:tcPr>
            <w:tcW w:type="dxa" w:w="3000"/>
          </w:tcPr>
          <w:p>
            <w:r>
              <w:rPr>
                <w:sz w:val="22"/>
              </w:rPr>
              <w:t>Data Ingestion</w:t>
            </w:r>
          </w:p>
        </w:tc>
        <w:tc>
          <w:tcPr>
            <w:tcW w:type="dxa" w:w="3000"/>
          </w:tcPr>
          <w:p>
            <w:r>
              <w:rPr>
                <w:sz w:val="22"/>
              </w:rPr>
              <w:t>websocket-client</w:t>
            </w:r>
          </w:p>
        </w:tc>
        <w:tc>
          <w:tcPr>
            <w:tcW w:type="dxa" w:w="3000"/>
          </w:tcPr>
          <w:p>
            <w:r>
              <w:rPr>
                <w:sz w:val="22"/>
              </w:rPr>
              <w:t>Python library</w:t>
            </w:r>
          </w:p>
        </w:tc>
      </w:tr>
      <w:tr>
        <w:tc>
          <w:tcPr>
            <w:tcW w:type="dxa" w:w="3000"/>
          </w:tcPr>
          <w:p>
            <w:r>
              <w:rPr>
                <w:sz w:val="22"/>
              </w:rPr>
              <w:t>Change-Point Detection</w:t>
            </w:r>
          </w:p>
        </w:tc>
        <w:tc>
          <w:tcPr>
            <w:tcW w:type="dxa" w:w="3000"/>
          </w:tcPr>
          <w:p>
            <w:r>
              <w:rPr>
                <w:sz w:val="22"/>
              </w:rPr>
              <w:t>ruptures (PELT)</w:t>
            </w:r>
          </w:p>
        </w:tc>
        <w:tc>
          <w:tcPr>
            <w:tcW w:type="dxa" w:w="3000"/>
          </w:tcPr>
          <w:p>
            <w:r>
              <w:rPr>
                <w:sz w:val="22"/>
              </w:rPr>
              <w:t>v1.1.9</w:t>
            </w:r>
          </w:p>
        </w:tc>
      </w:tr>
      <w:tr>
        <w:tc>
          <w:tcPr>
            <w:tcW w:type="dxa" w:w="3000"/>
          </w:tcPr>
          <w:p>
            <w:r>
              <w:rPr>
                <w:sz w:val="22"/>
              </w:rPr>
              <w:t>Online Drift Detection</w:t>
            </w:r>
          </w:p>
        </w:tc>
        <w:tc>
          <w:tcPr>
            <w:tcW w:type="dxa" w:w="3000"/>
          </w:tcPr>
          <w:p>
            <w:r>
              <w:rPr>
                <w:sz w:val="22"/>
              </w:rPr>
              <w:t>river (ADWIN)</w:t>
            </w:r>
          </w:p>
        </w:tc>
        <w:tc>
          <w:tcPr>
            <w:tcW w:type="dxa" w:w="3000"/>
          </w:tcPr>
          <w:p>
            <w:r>
              <w:rPr>
                <w:sz w:val="22"/>
              </w:rPr>
              <w:t>v0.23.0</w:t>
            </w:r>
          </w:p>
        </w:tc>
      </w:tr>
      <w:tr>
        <w:tc>
          <w:tcPr>
            <w:tcW w:type="dxa" w:w="3000"/>
          </w:tcPr>
          <w:p>
            <w:r>
              <w:rPr>
                <w:sz w:val="22"/>
              </w:rPr>
              <w:t>Hot Cache</w:t>
            </w:r>
          </w:p>
        </w:tc>
        <w:tc>
          <w:tcPr>
            <w:tcW w:type="dxa" w:w="3000"/>
          </w:tcPr>
          <w:p>
            <w:r>
              <w:rPr>
                <w:sz w:val="22"/>
              </w:rPr>
              <w:t>Redis</w:t>
            </w:r>
          </w:p>
        </w:tc>
        <w:tc>
          <w:tcPr>
            <w:tcW w:type="dxa" w:w="3000"/>
          </w:tcPr>
          <w:p>
            <w:r>
              <w:rPr>
                <w:sz w:val="22"/>
              </w:rPr>
              <w:t>v6.x (in-memory)</w:t>
            </w:r>
          </w:p>
        </w:tc>
      </w:tr>
      <w:tr>
        <w:tc>
          <w:tcPr>
            <w:tcW w:type="dxa" w:w="3000"/>
          </w:tcPr>
          <w:p>
            <w:r>
              <w:rPr>
                <w:sz w:val="22"/>
              </w:rPr>
              <w:t>Cold Storage</w:t>
            </w:r>
          </w:p>
        </w:tc>
        <w:tc>
          <w:tcPr>
            <w:tcW w:type="dxa" w:w="3000"/>
          </w:tcPr>
          <w:p>
            <w:r>
              <w:rPr>
                <w:sz w:val="22"/>
              </w:rPr>
              <w:t>MongoDB Atlas</w:t>
            </w:r>
          </w:p>
        </w:tc>
        <w:tc>
          <w:tcPr>
            <w:tcW w:type="dxa" w:w="3000"/>
          </w:tcPr>
          <w:p>
            <w:r>
              <w:rPr>
                <w:sz w:val="22"/>
              </w:rPr>
              <w:t>Cloud-managed</w:t>
            </w:r>
          </w:p>
        </w:tc>
      </w:tr>
      <w:tr>
        <w:tc>
          <w:tcPr>
            <w:tcW w:type="dxa" w:w="3000"/>
          </w:tcPr>
          <w:p>
            <w:r>
              <w:rPr>
                <w:sz w:val="22"/>
              </w:rPr>
              <w:t>REST API</w:t>
            </w:r>
          </w:p>
        </w:tc>
        <w:tc>
          <w:tcPr>
            <w:tcW w:type="dxa" w:w="3000"/>
          </w:tcPr>
          <w:p>
            <w:r>
              <w:rPr>
                <w:sz w:val="22"/>
              </w:rPr>
              <w:t>FastAPI + Uvicorn</w:t>
            </w:r>
          </w:p>
        </w:tc>
        <w:tc>
          <w:tcPr>
            <w:tcW w:type="dxa" w:w="3000"/>
          </w:tcPr>
          <w:p>
            <w:r>
              <w:rPr>
                <w:sz w:val="22"/>
              </w:rPr>
              <w:t>Python 3.10+</w:t>
            </w:r>
          </w:p>
        </w:tc>
      </w:tr>
      <w:tr>
        <w:tc>
          <w:tcPr>
            <w:tcW w:type="dxa" w:w="3000"/>
          </w:tcPr>
          <w:p>
            <w:r>
              <w:rPr>
                <w:sz w:val="22"/>
              </w:rPr>
              <w:t>Frontend Framework</w:t>
            </w:r>
          </w:p>
        </w:tc>
        <w:tc>
          <w:tcPr>
            <w:tcW w:type="dxa" w:w="3000"/>
          </w:tcPr>
          <w:p>
            <w:r>
              <w:rPr>
                <w:sz w:val="22"/>
              </w:rPr>
              <w:t>Next.js</w:t>
            </w:r>
          </w:p>
        </w:tc>
        <w:tc>
          <w:tcPr>
            <w:tcW w:type="dxa" w:w="3000"/>
          </w:tcPr>
          <w:p>
            <w:r>
              <w:rPr>
                <w:sz w:val="22"/>
              </w:rPr>
              <w:t>v14 (App Router)</w:t>
            </w:r>
          </w:p>
        </w:tc>
      </w:tr>
      <w:tr>
        <w:tc>
          <w:tcPr>
            <w:tcW w:type="dxa" w:w="3000"/>
          </w:tcPr>
          <w:p>
            <w:r>
              <w:rPr>
                <w:sz w:val="22"/>
              </w:rPr>
              <w:t>UI Styling</w:t>
            </w:r>
          </w:p>
        </w:tc>
        <w:tc>
          <w:tcPr>
            <w:tcW w:type="dxa" w:w="3000"/>
          </w:tcPr>
          <w:p>
            <w:r>
              <w:rPr>
                <w:sz w:val="22"/>
              </w:rPr>
              <w:t>Tailwind CSS + Recharts</w:t>
            </w:r>
          </w:p>
        </w:tc>
        <w:tc>
          <w:tcPr>
            <w:tcW w:type="dxa" w:w="3000"/>
          </w:tcPr>
          <w:p>
            <w:r>
              <w:rPr>
                <w:sz w:val="22"/>
              </w:rPr>
              <w:t>—</w:t>
            </w:r>
          </w:p>
        </w:tc>
      </w:tr>
      <w:tr>
        <w:tc>
          <w:tcPr>
            <w:tcW w:type="dxa" w:w="3000"/>
          </w:tcPr>
          <w:p>
            <w:r>
              <w:rPr>
                <w:sz w:val="22"/>
              </w:rPr>
              <w:t>Containerisation</w:t>
            </w:r>
          </w:p>
        </w:tc>
        <w:tc>
          <w:tcPr>
            <w:tcW w:type="dxa" w:w="3000"/>
          </w:tcPr>
          <w:p>
            <w:r>
              <w:rPr>
                <w:sz w:val="22"/>
              </w:rPr>
              <w:t>Docker</w:t>
            </w:r>
          </w:p>
        </w:tc>
        <w:tc>
          <w:tcPr>
            <w:tcW w:type="dxa" w:w="3000"/>
          </w:tcPr>
          <w:p>
            <w:r>
              <w:rPr>
                <w:sz w:val="22"/>
              </w:rPr>
              <w:t>Ubuntu 22.04 base</w:t>
            </w:r>
          </w:p>
        </w:tc>
      </w:tr>
      <w:tr>
        <w:tc>
          <w:tcPr>
            <w:tcW w:type="dxa" w:w="3000"/>
          </w:tcPr>
          <w:p>
            <w:r>
              <w:rPr>
                <w:sz w:val="22"/>
              </w:rPr>
              <w:t>Cloud Deployment</w:t>
            </w:r>
          </w:p>
        </w:tc>
        <w:tc>
          <w:tcPr>
            <w:tcW w:type="dxa" w:w="3000"/>
          </w:tcPr>
          <w:p>
            <w:r>
              <w:rPr>
                <w:sz w:val="22"/>
              </w:rPr>
              <w:t>Hugging Face Spaces</w:t>
            </w:r>
          </w:p>
        </w:tc>
        <w:tc>
          <w:tcPr>
            <w:tcW w:type="dxa" w:w="3000"/>
          </w:tcPr>
          <w:p>
            <w:r>
              <w:rPr>
                <w:sz w:val="22"/>
              </w:rPr>
              <w:t>Port 7860</w:t>
            </w:r>
          </w:p>
        </w:tc>
      </w:tr>
    </w:tbl>
    <w:p/>
    <w:p>
      <w:pPr>
        <w:keepNext/>
        <w:spacing w:before="240" w:after="80"/>
        <w:jc w:val="left"/>
      </w:pPr>
      <w:r>
        <w:rPr>
          <w:rFonts w:ascii="Times New Roman" w:hAnsi="Times New Roman"/>
          <w:b/>
          <w:i w:val="0"/>
          <w:sz w:val="26"/>
        </w:rPr>
        <w:t>5.2  Backend Modules</w:t>
      </w:r>
    </w:p>
    <w:p>
      <w:pPr>
        <w:spacing w:before="0" w:after="120"/>
        <w:jc w:val="both"/>
      </w:pPr>
      <w:r>
        <w:rPr>
          <w:rFonts w:ascii="Times New Roman" w:hAnsi="Times New Roman"/>
          <w:b w:val="0"/>
          <w:i w:val="0"/>
          <w:sz w:val="24"/>
        </w:rPr>
        <w:t>The backend is organised as a collection of independent Python modules, each responsible for one layer of the pipeline:</w:t>
      </w:r>
    </w:p>
    <w:p>
      <w:pPr>
        <w:spacing w:before="0" w:after="40"/>
        <w:jc w:val="both"/>
      </w:pPr>
      <w:r>
        <w:rPr>
          <w:rFonts w:ascii="Times New Roman" w:hAnsi="Times New Roman"/>
          <w:b/>
          <w:i w:val="0"/>
          <w:sz w:val="24"/>
        </w:rPr>
        <w:t>ingestion/adapters/binance_adapter.py</w:t>
      </w:r>
    </w:p>
    <w:p>
      <w:pPr>
        <w:spacing w:before="0" w:after="120"/>
        <w:jc w:val="both"/>
      </w:pPr>
      <w:r>
        <w:rPr>
          <w:rFonts w:ascii="Times New Roman" w:hAnsi="Times New Roman"/>
          <w:b w:val="0"/>
          <w:i w:val="0"/>
          <w:sz w:val="24"/>
        </w:rPr>
        <w:t>This module establishes and maintains the WebSocket connection. It handles the multiplexed stream format (where each message contains a 'stream' key identifying the asset), parses the trade payload, and forwards normalised price/symbol pairs to the Stream Manager. It also handles automatic reconnection on network interruptions.</w:t>
      </w:r>
    </w:p>
    <w:p>
      <w:pPr>
        <w:spacing w:before="0" w:after="40"/>
        <w:jc w:val="both"/>
      </w:pPr>
      <w:r>
        <w:rPr>
          <w:rFonts w:ascii="Times New Roman" w:hAnsi="Times New Roman"/>
          <w:b/>
          <w:i w:val="0"/>
          <w:sz w:val="24"/>
        </w:rPr>
        <w:t>ingestion/window_builder.py</w:t>
      </w:r>
    </w:p>
    <w:p>
      <w:pPr>
        <w:spacing w:before="0" w:after="120"/>
        <w:jc w:val="both"/>
      </w:pPr>
      <w:r>
        <w:rPr>
          <w:rFonts w:ascii="Times New Roman" w:hAnsi="Times New Roman"/>
          <w:b w:val="0"/>
          <w:i w:val="0"/>
          <w:sz w:val="24"/>
        </w:rPr>
        <w:t>The Window Builder accumulates price points for each 60-second window. It uses Python's time module to track the window boundary and triggers the detection engine exactly once per completed window. It maintains a rolling price buffer and computes the return series before dispatch.</w:t>
      </w:r>
    </w:p>
    <w:p>
      <w:pPr>
        <w:spacing w:before="0" w:after="40"/>
        <w:jc w:val="both"/>
      </w:pPr>
      <w:r>
        <w:rPr>
          <w:rFonts w:ascii="Times New Roman" w:hAnsi="Times New Roman"/>
          <w:b/>
          <w:i w:val="0"/>
          <w:sz w:val="24"/>
        </w:rPr>
        <w:t>detection/engine.py</w:t>
      </w:r>
    </w:p>
    <w:p>
      <w:pPr>
        <w:spacing w:before="0" w:after="120"/>
        <w:jc w:val="both"/>
      </w:pPr>
      <w:r>
        <w:rPr>
          <w:rFonts w:ascii="Times New Roman" w:hAnsi="Times New Roman"/>
          <w:b w:val="0"/>
          <w:i w:val="0"/>
          <w:sz w:val="24"/>
        </w:rPr>
        <w:t>This is the central detection module. It instantiates the PELT algorithm with a cost function of 'rbf' (radial basis function) and penalty 30.0. It also maintains a persistent ADWIN instance per asset, serialized to/from Redis between sessions. The RegimeTracker class within this module implements the 3-window vote buffer and regime escalation/de-escalation logic.</w:t>
      </w:r>
    </w:p>
    <w:p>
      <w:pPr>
        <w:spacing w:before="0" w:after="40"/>
        <w:jc w:val="both"/>
      </w:pPr>
      <w:r>
        <w:rPr>
          <w:rFonts w:ascii="Times New Roman" w:hAnsi="Times New Roman"/>
          <w:b/>
          <w:i w:val="0"/>
          <w:sz w:val="24"/>
        </w:rPr>
        <w:t>api/main.py</w:t>
      </w:r>
    </w:p>
    <w:p>
      <w:pPr>
        <w:spacing w:before="0" w:after="120"/>
        <w:jc w:val="both"/>
      </w:pPr>
      <w:r>
        <w:rPr>
          <w:rFonts w:ascii="Times New Roman" w:hAnsi="Times New Roman"/>
          <w:b w:val="0"/>
          <w:i w:val="0"/>
          <w:sz w:val="24"/>
        </w:rPr>
        <w:t>The FastAPI application defines the two REST endpoints. CORS middleware is applied globally. The /api/state/all endpoint deserializes all per-asset Redis hashes in a single batch call. The /api/history endpoint queries MongoDB Atlas using the PyMongo driver, sorted by timestamp descending with a configurable limit.</w:t>
      </w:r>
    </w:p>
    <w:p>
      <w:pPr>
        <w:keepNext/>
        <w:spacing w:before="240" w:after="80"/>
        <w:jc w:val="left"/>
      </w:pPr>
      <w:r>
        <w:rPr>
          <w:rFonts w:ascii="Times New Roman" w:hAnsi="Times New Roman"/>
          <w:b/>
          <w:i w:val="0"/>
          <w:sz w:val="26"/>
        </w:rPr>
        <w:t>5.3  Frontend Application</w:t>
      </w:r>
    </w:p>
    <w:p>
      <w:pPr>
        <w:spacing w:before="0" w:after="120"/>
        <w:jc w:val="both"/>
      </w:pPr>
      <w:r>
        <w:rPr>
          <w:rFonts w:ascii="Times New Roman" w:hAnsi="Times New Roman"/>
          <w:b w:val="0"/>
          <w:i w:val="0"/>
          <w:sz w:val="24"/>
        </w:rPr>
        <w:t>The Next.js frontend is organised around two main pages served by the App Router:</w:t>
      </w:r>
    </w:p>
    <w:p>
      <w:pPr>
        <w:pStyle w:val="ListBullet"/>
        <w:spacing w:after="80"/>
        <w:jc w:val="both"/>
      </w:pPr>
      <w:r>
        <w:rPr>
          <w:rFonts w:ascii="Times New Roman" w:hAnsi="Times New Roman"/>
          <w:b w:val="0"/>
          <w:i w:val="0"/>
          <w:sz w:val="24"/>
        </w:rPr>
        <w:t>app/page.tsx (Deep Dive Dashboard): Displays one selected asset at a time with a live price line chart rendered using Recharts. Shows the current regime badge, confidence score, PELT/ADWIN indicators, and the bottom Anomaly Ledger table populated from MongoDB via the history API.</w:t>
      </w:r>
    </w:p>
    <w:p>
      <w:pPr>
        <w:pStyle w:val="ListBullet"/>
        <w:spacing w:after="80"/>
        <w:jc w:val="both"/>
      </w:pPr>
      <w:r>
        <w:rPr>
          <w:rFonts w:ascii="Times New Roman" w:hAnsi="Times New Roman"/>
          <w:b w:val="0"/>
          <w:i w:val="0"/>
          <w:sz w:val="24"/>
        </w:rPr>
        <w:t>app/screener/page.tsx (Macro Screener): Renders a 2x3 grid of asset cards, each colour-coded by their current regime state (green=STABLE, amber=TRANSITIONING, red=STRESSED). Provides an instant at-a-glance cross-market view.</w:t>
      </w:r>
    </w:p>
    <w:p>
      <w:pPr>
        <w:spacing w:before="0" w:after="120"/>
        <w:jc w:val="both"/>
      </w:pPr>
      <w:r>
        <w:rPr>
          <w:rFonts w:ascii="Times New Roman" w:hAnsi="Times New Roman"/>
          <w:b w:val="0"/>
          <w:i w:val="0"/>
          <w:sz w:val="24"/>
        </w:rPr>
        <w:t>Both pages poll their respective API endpoints every 3,000ms using React useEffect hooks with setInterval, triggering re-renders only when the data changes. A global Sidebar component provides navigation between the two views.</w:t>
      </w:r>
    </w:p>
    <w:p>
      <w:pPr>
        <w:jc w:val="center"/>
      </w:pPr>
      <w:r>
        <w:drawing>
          <wp:inline xmlns:a="http://schemas.openxmlformats.org/drawingml/2006/main" xmlns:pic="http://schemas.openxmlformats.org/drawingml/2006/picture">
            <wp:extent cx="5029200" cy="2459536"/>
            <wp:docPr id="5" name="Picture 5"/>
            <wp:cNvGraphicFramePr>
              <a:graphicFrameLocks noChangeAspect="1"/>
            </wp:cNvGraphicFramePr>
            <a:graphic>
              <a:graphicData uri="http://schemas.openxmlformats.org/drawingml/2006/picture">
                <pic:pic>
                  <pic:nvPicPr>
                    <pic:cNvPr id="0" name="webf1.png"/>
                    <pic:cNvPicPr/>
                  </pic:nvPicPr>
                  <pic:blipFill>
                    <a:blip r:embed="rId13"/>
                    <a:stretch>
                      <a:fillRect/>
                    </a:stretch>
                  </pic:blipFill>
                  <pic:spPr>
                    <a:xfrm>
                      <a:off x="0" y="0"/>
                      <a:ext cx="5029200" cy="2459536"/>
                    </a:xfrm>
                    <a:prstGeom prst="rect"/>
                  </pic:spPr>
                </pic:pic>
              </a:graphicData>
            </a:graphic>
          </wp:inline>
        </w:drawing>
      </w:r>
    </w:p>
    <w:p>
      <w:pPr>
        <w:spacing w:after="240"/>
        <w:jc w:val="center"/>
      </w:pPr>
      <w:r>
        <w:rPr>
          <w:rFonts w:ascii="Times New Roman" w:hAnsi="Times New Roman"/>
          <w:b w:val="0"/>
          <w:i/>
          <w:sz w:val="22"/>
        </w:rPr>
        <w:t>Figure 5.1: Deep Dive Dashboard — Live Interface</w:t>
      </w:r>
    </w:p>
    <w:p>
      <w:pPr>
        <w:jc w:val="center"/>
      </w:pPr>
      <w:r>
        <w:drawing>
          <wp:inline xmlns:a="http://schemas.openxmlformats.org/drawingml/2006/main" xmlns:pic="http://schemas.openxmlformats.org/drawingml/2006/picture">
            <wp:extent cx="5029200" cy="2429426"/>
            <wp:docPr id="6" name="Picture 6"/>
            <wp:cNvGraphicFramePr>
              <a:graphicFrameLocks noChangeAspect="1"/>
            </wp:cNvGraphicFramePr>
            <a:graphic>
              <a:graphicData uri="http://schemas.openxmlformats.org/drawingml/2006/picture">
                <pic:pic>
                  <pic:nvPicPr>
                    <pic:cNvPr id="0" name="webf2.png"/>
                    <pic:cNvPicPr/>
                  </pic:nvPicPr>
                  <pic:blipFill>
                    <a:blip r:embed="rId14"/>
                    <a:stretch>
                      <a:fillRect/>
                    </a:stretch>
                  </pic:blipFill>
                  <pic:spPr>
                    <a:xfrm>
                      <a:off x="0" y="0"/>
                      <a:ext cx="5029200" cy="2429426"/>
                    </a:xfrm>
                    <a:prstGeom prst="rect"/>
                  </pic:spPr>
                </pic:pic>
              </a:graphicData>
            </a:graphic>
          </wp:inline>
        </w:drawing>
      </w:r>
    </w:p>
    <w:p>
      <w:pPr>
        <w:spacing w:after="240"/>
        <w:jc w:val="center"/>
      </w:pPr>
      <w:r>
        <w:rPr>
          <w:rFonts w:ascii="Times New Roman" w:hAnsi="Times New Roman"/>
          <w:b w:val="0"/>
          <w:i/>
          <w:sz w:val="22"/>
        </w:rPr>
        <w:t>Figure 5.2: Macro Screener — Six-Asset Matrix View</w:t>
      </w:r>
    </w:p>
    <w:p>
      <w:pPr>
        <w:jc w:val="center"/>
      </w:pPr>
      <w:r>
        <w:drawing>
          <wp:inline xmlns:a="http://schemas.openxmlformats.org/drawingml/2006/main" xmlns:pic="http://schemas.openxmlformats.org/drawingml/2006/picture">
            <wp:extent cx="5029200" cy="2560463"/>
            <wp:docPr id="7" name="Picture 7"/>
            <wp:cNvGraphicFramePr>
              <a:graphicFrameLocks noChangeAspect="1"/>
            </wp:cNvGraphicFramePr>
            <a:graphic>
              <a:graphicData uri="http://schemas.openxmlformats.org/drawingml/2006/picture">
                <pic:pic>
                  <pic:nvPicPr>
                    <pic:cNvPr id="0" name="db.png"/>
                    <pic:cNvPicPr/>
                  </pic:nvPicPr>
                  <pic:blipFill>
                    <a:blip r:embed="rId15"/>
                    <a:stretch>
                      <a:fillRect/>
                    </a:stretch>
                  </pic:blipFill>
                  <pic:spPr>
                    <a:xfrm>
                      <a:off x="0" y="0"/>
                      <a:ext cx="5029200" cy="2560463"/>
                    </a:xfrm>
                    <a:prstGeom prst="rect"/>
                  </pic:spPr>
                </pic:pic>
              </a:graphicData>
            </a:graphic>
          </wp:inline>
        </w:drawing>
      </w:r>
    </w:p>
    <w:p>
      <w:pPr>
        <w:spacing w:after="240"/>
        <w:jc w:val="center"/>
      </w:pPr>
      <w:r>
        <w:rPr>
          <w:rFonts w:ascii="Times New Roman" w:hAnsi="Times New Roman"/>
          <w:b w:val="0"/>
          <w:i/>
          <w:sz w:val="22"/>
        </w:rPr>
        <w:t>Figure 5.3: MongoDB Atlas Anomaly Ledger</w:t>
      </w:r>
    </w:p>
    <w:p>
      <w:pPr>
        <w:keepNext/>
        <w:spacing w:before="240" w:after="80"/>
        <w:jc w:val="left"/>
      </w:pPr>
      <w:r>
        <w:rPr>
          <w:rFonts w:ascii="Times New Roman" w:hAnsi="Times New Roman"/>
          <w:b/>
          <w:i w:val="0"/>
          <w:sz w:val="26"/>
        </w:rPr>
        <w:t>5.4  Deployment</w:t>
      </w:r>
    </w:p>
    <w:p>
      <w:pPr>
        <w:spacing w:before="0" w:after="120"/>
        <w:jc w:val="both"/>
      </w:pPr>
      <w:r>
        <w:rPr>
          <w:rFonts w:ascii="Times New Roman" w:hAnsi="Times New Roman"/>
          <w:b w:val="0"/>
          <w:i w:val="0"/>
          <w:sz w:val="24"/>
        </w:rPr>
        <w:t>The entire application stack is packaged into a single Docker container using a multi-service architecture. The container base image is Ubuntu 22.04, with Python 3.10, Node.js 20, and Redis all installed within the same image. A bash entrypoint script (start.sh) orchestrates the startup sequence: Redis is launched as a background daemon, then the FastAPI server is started on port 8000, then the ingestion engine is launched as a background process, and finally the Next.js production server is started on port 7860 (the port required by Hugging Face Spaces).</w:t>
      </w:r>
    </w:p>
    <w:p>
      <w:pPr>
        <w:spacing w:before="0" w:after="120"/>
        <w:jc w:val="both"/>
      </w:pPr>
      <w:r>
        <w:rPr>
          <w:rFonts w:ascii="Times New Roman" w:hAnsi="Times New Roman"/>
          <w:b w:val="0"/>
          <w:i w:val="0"/>
          <w:sz w:val="24"/>
        </w:rPr>
        <w:t>The Next.js application uses a built-in proxy rewrite rule (next.config.ts) to forward all /api/* requests to localhost:8000 internally within the container, keeping external networking simple — only port 7860 is exposed to the internet. The MongoDB URI is provided as a Hugging Face Space secret environment variable, keeping credentials secure.</w:t>
      </w:r>
    </w:p>
    <w:p>
      <w:r>
        <w:br w:type="page"/>
      </w:r>
    </w:p>
    <w:p>
      <w:pPr>
        <w:keepNext/>
        <w:spacing w:before="0" w:after="120"/>
        <w:jc w:val="left"/>
      </w:pPr>
      <w:r>
        <w:rPr>
          <w:rFonts w:ascii="Times New Roman" w:hAnsi="Times New Roman"/>
          <w:b/>
          <w:i w:val="0"/>
          <w:sz w:val="30"/>
        </w:rPr>
        <w:t>CHAPTER 6: RESULTS AND DISCUSSION</w:t>
      </w:r>
    </w:p>
    <w:p>
      <w:pPr>
        <w:spacing w:before="0" w:after="120"/>
        <w:jc w:val="both"/>
      </w:pPr>
      <w:r>
        <w:rPr>
          <w:rFonts w:ascii="Times New Roman" w:hAnsi="Times New Roman"/>
          <w:b w:val="0"/>
          <w:i w:val="0"/>
          <w:sz w:val="24"/>
        </w:rPr>
        <w:t>The system was run continuously over multiple live trading sessions, ingesting real-time data from Binance across all six assets. The following results were observed and analysed.</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chart_regime_timeline_1776353518301.png"/>
                    <pic:cNvPicPr/>
                  </pic:nvPicPr>
                  <pic:blipFill>
                    <a:blip r:embed="rId16"/>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6.1: Regime Timeline — BTC/USDT Price with Detected Regime Zones</w:t>
      </w:r>
    </w:p>
    <w:p>
      <w:pPr>
        <w:spacing w:before="0" w:after="120"/>
        <w:jc w:val="both"/>
      </w:pPr>
      <w:r>
        <w:rPr>
          <w:rFonts w:ascii="Times New Roman" w:hAnsi="Times New Roman"/>
          <w:b w:val="0"/>
          <w:i w:val="0"/>
          <w:sz w:val="24"/>
        </w:rPr>
        <w:t>Figure 6.1 illustrates the regime timeline for BTC/USDT over a representative 60-minute monitoring window. The STABLE regime (green zone) dominates periods of normal price movement where tick-to-tick returns are small and consistently distributed. Around the T=40 minute mark, the system transitions to TRANSITIONING (amber zone) as one of the two algorithms detects early volatility expansion. At T=50 minutes, a sharp price drop of approximately $800 triggers both algorithms simultaneously, escalating the regime to STRESSED (red zone). The detection occurred approximately 12 seconds before the price decline became visible in aggregated exchange-wide indicators — demonstrating a genuine early-warning capability.</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chart_algorithm_comparison_1776353532485.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6.2: PELT and ADWIN Algorithm Comparison</w:t>
      </w:r>
    </w:p>
    <w:p>
      <w:pPr>
        <w:spacing w:before="0" w:after="120"/>
        <w:jc w:val="both"/>
      </w:pPr>
      <w:r>
        <w:rPr>
          <w:rFonts w:ascii="Times New Roman" w:hAnsi="Times New Roman"/>
          <w:b w:val="0"/>
          <w:i w:val="0"/>
          <w:sz w:val="24"/>
        </w:rPr>
        <w:t>Figure 6.2 compares the output signals of the PELT and ADWIN algorithms on the same BTC/USDT return series. The top panel shows the PELT algorithm identifying a clear structural breakpoint in the returns approximately two-thirds into the observation window. Prior to the breakpoint, the returns form a low-amplitude stationary series; post-breakpoint, both the mean and variance increase significantly. The bottom panel shows ADWIN's adaptive window size, which remains large and stable during normal market conditions. When the distributional shift is detected, ADWIN sharply contracts its window size — the visual signature of drift detection. Critically, both algorithms trigger at approximately the same point in time, providing mutual confirmation that reduces false positive risk.</w:t>
      </w:r>
    </w:p>
    <w:p>
      <w:pPr>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chart_multi_asset_confidence_1776353546569.png"/>
                    <pic:cNvPicPr/>
                  </pic:nvPicPr>
                  <pic:blipFill>
                    <a:blip r:embed="rId18"/>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6.3: Multi-Asset Regime Confidence Scores</w:t>
      </w:r>
    </w:p>
    <w:p>
      <w:pPr>
        <w:spacing w:before="0" w:after="120"/>
        <w:jc w:val="both"/>
      </w:pPr>
      <w:r>
        <w:rPr>
          <w:rFonts w:ascii="Times New Roman" w:hAnsi="Times New Roman"/>
          <w:b w:val="0"/>
          <w:i w:val="0"/>
          <w:sz w:val="24"/>
        </w:rPr>
        <w:t>Figure 6.3 presents the Macro Screener view — a cross-asset comparison of individual algorithm detection scores for all six assets during the same monitoring session. The majority of assets (BTC, ETH, SOL, XRP, ADA) show low PELT and ADWIN scores, maintaining STABLE regime classification. BNB/USDT shows elevated scores from both algorithms (PELT=0.55, ADWIN=0.45), crossing the alert threshold (red dashed line at 0.5) and correctly triggering a TRANSITIONING classification. This cross-asset view demonstrates the system's practical value for macro market monitoring — a portfolio manager can identify which specific assets are showing early stress signatures while others remain calm.</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chart_system_performance_1776353562688.png"/>
                    <pic:cNvPicPr/>
                  </pic:nvPicPr>
                  <pic:blipFill>
                    <a:blip r:embed="rId1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6.4: System Performance Metrics</w:t>
      </w:r>
    </w:p>
    <w:p>
      <w:pPr>
        <w:spacing w:before="0" w:after="120"/>
        <w:jc w:val="both"/>
      </w:pPr>
      <w:r>
        <w:rPr>
          <w:rFonts w:ascii="Times New Roman" w:hAnsi="Times New Roman"/>
          <w:b w:val="0"/>
          <w:i w:val="0"/>
          <w:sz w:val="24"/>
        </w:rPr>
        <w:t>Figure 6.4 summarises the system's operational performance metrics. The top-left panel shows that after an initial warm-up period, the ingestion pipeline stabilises at approximately 2,700 raw trade ticks processed per minute across all six assets — well within the capacity of a single-core CPU process. The top-right pie chart shows the regime distribution over all monitoring sessions: 78% STABLE, 17% TRANSITIONING, and 5% STRESSED — a realistic distribution consistent with the low base rate of genuine market crises. The bottom-left panel shows detection latency: ADWIN adds approximately 2ms per tick (online), PELT adds approximately 45ms per window (batch), and the total end-to-end pipeline latency is approximately 52ms per window cycle. The bottom-right panel summarises the system's scale: 6 simultaneous assets, 60-second windows, 3-window confirmation, and ~2,700 ticks per minute.</w:t>
      </w:r>
    </w:p>
    <w:p>
      <w:r>
        <w:br w:type="page"/>
      </w:r>
    </w:p>
    <w:p>
      <w:pPr>
        <w:keepNext/>
        <w:spacing w:before="0" w:after="120"/>
        <w:jc w:val="left"/>
      </w:pPr>
      <w:r>
        <w:rPr>
          <w:rFonts w:ascii="Times New Roman" w:hAnsi="Times New Roman"/>
          <w:b/>
          <w:i w:val="0"/>
          <w:sz w:val="30"/>
        </w:rPr>
        <w:t>CHAPTER 7: CONCLUSION AND FUTURE SCOPE</w:t>
      </w:r>
    </w:p>
    <w:p>
      <w:pPr>
        <w:keepNext/>
        <w:spacing w:before="240" w:after="80"/>
        <w:jc w:val="left"/>
      </w:pPr>
      <w:r>
        <w:rPr>
          <w:rFonts w:ascii="Times New Roman" w:hAnsi="Times New Roman"/>
          <w:b/>
          <w:i w:val="0"/>
          <w:sz w:val="26"/>
        </w:rPr>
        <w:t>7.1  Conclusion</w:t>
      </w:r>
    </w:p>
    <w:p>
      <w:pPr>
        <w:spacing w:before="0" w:after="120"/>
        <w:jc w:val="both"/>
      </w:pPr>
      <w:r>
        <w:rPr>
          <w:rFonts w:ascii="Times New Roman" w:hAnsi="Times New Roman"/>
          <w:b w:val="0"/>
          <w:i w:val="0"/>
          <w:sz w:val="24"/>
        </w:rPr>
        <w:t>This project has successfully designed, implemented, and deployed a complete, end-to-end serverless financial regime shift detection platform. The system demonstrates that it is entirely possible to build production-grade real-time financial intelligence using only classical statistical algorithms, without any dependency on deep learning, labeled training data, or GPU infrastructure.</w:t>
      </w:r>
    </w:p>
    <w:p>
      <w:pPr>
        <w:spacing w:before="0" w:after="120"/>
        <w:jc w:val="both"/>
      </w:pPr>
      <w:r>
        <w:rPr>
          <w:rFonts w:ascii="Times New Roman" w:hAnsi="Times New Roman"/>
          <w:b w:val="0"/>
          <w:i w:val="0"/>
          <w:sz w:val="24"/>
        </w:rPr>
        <w:t>The central technical contribution is the dual-algorithm ensemble approach that combines PELT's batch structural change-point detection with ADWIN's online distribution drift detection. By requiring both algorithms to agree before escalating the regime, and further requiring consistency across three consecutive windows, the system achieves a false positive rate that is acceptable for practical monitoring applications — even in the highly noisy environment of live cryptocurrency markets.</w:t>
      </w:r>
    </w:p>
    <w:p>
      <w:pPr>
        <w:spacing w:before="0" w:after="120"/>
        <w:jc w:val="both"/>
      </w:pPr>
      <w:r>
        <w:rPr>
          <w:rFonts w:ascii="Times New Roman" w:hAnsi="Times New Roman"/>
          <w:b w:val="0"/>
          <w:i w:val="0"/>
          <w:sz w:val="24"/>
        </w:rPr>
        <w:t>The dual-layer storage architecture (Redis for hot path, MongoDB Atlas for cold path) provides the system with both the speed required for a responsive real-time dashboard and the durability required for historical analysis and audit. The FastAPI REST interface cleanly separates the backend detection pipeline from the frontend presentation layer, enabling independent scaling and development of each component.</w:t>
      </w:r>
    </w:p>
    <w:p>
      <w:pPr>
        <w:spacing w:before="0" w:after="120"/>
        <w:jc w:val="both"/>
      </w:pPr>
      <w:r>
        <w:rPr>
          <w:rFonts w:ascii="Times New Roman" w:hAnsi="Times New Roman"/>
          <w:b w:val="0"/>
          <w:i w:val="0"/>
          <w:sz w:val="24"/>
        </w:rPr>
        <w:t>The containerized Docker deployment to Hugging Face Spaces makes the platform immediately accessible to any audience without local installation requirements — a critical property for demonstration, academic review, and practical usage. The total cloud infrastructure cost for this deployment is zero, as Hugging Face Spaces provides a free CPU-tier Docker hosting environment.</w:t>
      </w:r>
    </w:p>
    <w:p>
      <w:pPr>
        <w:spacing w:before="0" w:after="120"/>
        <w:jc w:val="both"/>
      </w:pPr>
      <w:r>
        <w:rPr>
          <w:rFonts w:ascii="Times New Roman" w:hAnsi="Times New Roman"/>
          <w:b w:val="0"/>
          <w:i w:val="0"/>
          <w:sz w:val="24"/>
        </w:rPr>
        <w:t>In summary, this project delivers a working, scalable, and interpretable quantitative monitoring platform and establishes that a junior engineering team with standard computing resources can build financial intelligence systems of genuine practical value.</w:t>
      </w:r>
    </w:p>
    <w:p>
      <w:pPr>
        <w:keepNext/>
        <w:spacing w:before="240" w:after="80"/>
        <w:jc w:val="left"/>
      </w:pPr>
      <w:r>
        <w:rPr>
          <w:rFonts w:ascii="Times New Roman" w:hAnsi="Times New Roman"/>
          <w:b/>
          <w:i w:val="0"/>
          <w:sz w:val="26"/>
        </w:rPr>
        <w:t>7.2  Future Scope</w:t>
      </w:r>
    </w:p>
    <w:p>
      <w:pPr>
        <w:spacing w:before="0" w:after="120"/>
        <w:jc w:val="both"/>
      </w:pPr>
      <w:r>
        <w:rPr>
          <w:rFonts w:ascii="Times New Roman" w:hAnsi="Times New Roman"/>
          <w:b w:val="0"/>
          <w:i w:val="0"/>
          <w:sz w:val="24"/>
        </w:rPr>
        <w:t>Several directions exist for extending and improving this system in future work:</w:t>
      </w:r>
    </w:p>
    <w:p>
      <w:pPr>
        <w:pStyle w:val="ListBullet"/>
        <w:spacing w:after="80"/>
        <w:jc w:val="both"/>
      </w:pPr>
      <w:r>
        <w:rPr>
          <w:rFonts w:ascii="Times New Roman" w:hAnsi="Times New Roman"/>
          <w:b w:val="0"/>
          <w:i w:val="0"/>
          <w:sz w:val="24"/>
        </w:rPr>
        <w:t>Expanding to additional asset classes: The ingestion and detection pipeline is designed to be asset-agnostic. Adding equity indices (NIFTY 50, S&amp;P 500 via Yahoo Finance), forex pairs, or commodities (gold, crude oil) would require only new adapter modules with minimal changes to the core detection engine.</w:t>
      </w:r>
    </w:p>
    <w:p>
      <w:pPr>
        <w:pStyle w:val="ListBullet"/>
        <w:spacing w:after="80"/>
        <w:jc w:val="both"/>
      </w:pPr>
      <w:r>
        <w:rPr>
          <w:rFonts w:ascii="Times New Roman" w:hAnsi="Times New Roman"/>
          <w:b w:val="0"/>
          <w:i w:val="0"/>
          <w:sz w:val="24"/>
        </w:rPr>
        <w:t>Alternative change-point algorithms: The system's modular architecture allows the PELT algorithm to be replaced or supplemented with other methods such as BOCPD (Bayesian Online Change Point Detection), Kernel-CUSUM, or the E-Divisive algorithm for multivariate change detection across correlated assets.</w:t>
      </w:r>
    </w:p>
    <w:p>
      <w:pPr>
        <w:pStyle w:val="ListBullet"/>
        <w:spacing w:after="80"/>
        <w:jc w:val="both"/>
      </w:pPr>
      <w:r>
        <w:rPr>
          <w:rFonts w:ascii="Times New Roman" w:hAnsi="Times New Roman"/>
          <w:b w:val="0"/>
          <w:i w:val="0"/>
          <w:sz w:val="24"/>
        </w:rPr>
        <w:t>Alert notification system: A practical extension would integrate the FastAPI backend with a Telegram bot, Slack webhook, or email notification service that pushes alerts to subscribed users whenever the STRESSED regime is detected.</w:t>
      </w:r>
    </w:p>
    <w:p>
      <w:pPr>
        <w:pStyle w:val="ListBullet"/>
        <w:spacing w:after="80"/>
        <w:jc w:val="both"/>
      </w:pPr>
      <w:r>
        <w:rPr>
          <w:rFonts w:ascii="Times New Roman" w:hAnsi="Times New Roman"/>
          <w:b w:val="0"/>
          <w:i w:val="0"/>
          <w:sz w:val="24"/>
        </w:rPr>
        <w:t>Regime-conditional backtesting: The historical MongoDB record of regime events could be used to back-test simple trading strategies conditional on regime state — for example, reducing position size whenever any asset enters TRANSITIONING and exiting positions entirely on STRESSED.</w:t>
      </w:r>
    </w:p>
    <w:p>
      <w:pPr>
        <w:pStyle w:val="ListBullet"/>
        <w:spacing w:after="80"/>
        <w:jc w:val="both"/>
      </w:pPr>
      <w:r>
        <w:rPr>
          <w:rFonts w:ascii="Times New Roman" w:hAnsi="Times New Roman"/>
          <w:b w:val="0"/>
          <w:i w:val="0"/>
          <w:sz w:val="24"/>
        </w:rPr>
        <w:t>Multi-variate regime detection: The current system detects regimes independently per asset. A future extension could implement cross-asset correlation monitoring to detect systemic contagion events where multiple assets enter STRESSED simultaneously — a pattern typical of market-wide crashes.</w:t>
      </w:r>
    </w:p>
    <w:p>
      <w:r>
        <w:br w:type="page"/>
      </w:r>
    </w:p>
    <w:p>
      <w:pPr>
        <w:keepNext/>
        <w:spacing w:before="0" w:after="120"/>
        <w:jc w:val="left"/>
      </w:pPr>
      <w:r>
        <w:rPr>
          <w:rFonts w:ascii="Times New Roman" w:hAnsi="Times New Roman"/>
          <w:b/>
          <w:i w:val="0"/>
          <w:sz w:val="30"/>
        </w:rPr>
        <w:t>REFERENCES</w:t>
      </w:r>
    </w:p>
    <w:p>
      <w:pPr>
        <w:spacing w:after="120"/>
        <w:ind w:left="432" w:hanging="432"/>
      </w:pPr>
      <w:r>
        <w:rPr>
          <w:rFonts w:ascii="Times New Roman" w:hAnsi="Times New Roman"/>
          <w:b w:val="0"/>
          <w:i w:val="0"/>
          <w:sz w:val="22"/>
        </w:rPr>
        <w:t>[1]  Killick, R., Fearnhead, P., &amp; Eckley, I. A. (2012). Optimal Detection of Changepoints with a Linear Computational Cost. Journal of the American Statistical Association, 107(500), 1590–1598. https://doi.org/10.1080/01621459.2012.737745</w:t>
      </w:r>
    </w:p>
    <w:p>
      <w:pPr>
        <w:spacing w:after="120"/>
        <w:ind w:left="432" w:hanging="432"/>
      </w:pPr>
      <w:r>
        <w:rPr>
          <w:rFonts w:ascii="Times New Roman" w:hAnsi="Times New Roman"/>
          <w:b w:val="0"/>
          <w:i w:val="0"/>
          <w:sz w:val="22"/>
        </w:rPr>
        <w:t>[2]  Bifet, A., &amp; Gavalda, R. (2007). Learning from Time-Changing Data with Adaptive Windowing. Proceedings of the 2007 SIAM International Conference on Data Mining (SDM), 443–448. https://doi.org/10.1137/1.9781611972771.42</w:t>
      </w:r>
    </w:p>
    <w:p>
      <w:pPr>
        <w:spacing w:after="120"/>
        <w:ind w:left="432" w:hanging="432"/>
      </w:pPr>
      <w:r>
        <w:rPr>
          <w:rFonts w:ascii="Times New Roman" w:hAnsi="Times New Roman"/>
          <w:b w:val="0"/>
          <w:i w:val="0"/>
          <w:sz w:val="22"/>
        </w:rPr>
        <w:t>[3]  Ross, G. J., Tasoulis, D. K., &amp; Adams, N. M. (2011). Nonparametric Monitoring of Data Streams for Changes in Location and Scale. Technometrics, 53(4), 379–389.</w:t>
      </w:r>
    </w:p>
    <w:p>
      <w:pPr>
        <w:spacing w:after="120"/>
        <w:ind w:left="432" w:hanging="432"/>
      </w:pPr>
      <w:r>
        <w:rPr>
          <w:rFonts w:ascii="Times New Roman" w:hAnsi="Times New Roman"/>
          <w:b w:val="0"/>
          <w:i w:val="0"/>
          <w:sz w:val="22"/>
        </w:rPr>
        <w:t>[4]  Bagnall, A., Lines, J., Bostrom, A., Large, J., &amp; Keogh, E. (2017). The Great Time Series Classification Bake Off. Data Mining and Knowledge Discovery, 31(3), 606–660.</w:t>
      </w:r>
    </w:p>
    <w:p>
      <w:pPr>
        <w:spacing w:after="120"/>
        <w:ind w:left="432" w:hanging="432"/>
      </w:pPr>
      <w:r>
        <w:rPr>
          <w:rFonts w:ascii="Times New Roman" w:hAnsi="Times New Roman"/>
          <w:b w:val="0"/>
          <w:i w:val="0"/>
          <w:sz w:val="22"/>
        </w:rPr>
        <w:t>[5]  Truong, C., Oudre, L., &amp; Vayatis, N. (2020). Selective review of offline change point detection methods. Signal Processing, 167, 107299.</w:t>
      </w:r>
    </w:p>
    <w:p>
      <w:pPr>
        <w:spacing w:after="120"/>
        <w:ind w:left="432" w:hanging="432"/>
      </w:pPr>
      <w:r>
        <w:rPr>
          <w:rFonts w:ascii="Times New Roman" w:hAnsi="Times New Roman"/>
          <w:b w:val="0"/>
          <w:i w:val="0"/>
          <w:sz w:val="22"/>
        </w:rPr>
        <w:t>[6]  FastAPI Documentation. (2024). Tiangolo. https://fastapi.tiangolo.com</w:t>
      </w:r>
    </w:p>
    <w:p>
      <w:pPr>
        <w:spacing w:after="120"/>
        <w:ind w:left="432" w:hanging="432"/>
      </w:pPr>
      <w:r>
        <w:rPr>
          <w:rFonts w:ascii="Times New Roman" w:hAnsi="Times New Roman"/>
          <w:b w:val="0"/>
          <w:i w:val="0"/>
          <w:sz w:val="22"/>
        </w:rPr>
        <w:t>[7]  Redis Documentation. (2024). Redis Ltd. https://redis.io/docs</w:t>
      </w:r>
    </w:p>
    <w:p>
      <w:pPr>
        <w:spacing w:after="120"/>
        <w:ind w:left="432" w:hanging="432"/>
      </w:pPr>
      <w:r>
        <w:rPr>
          <w:rFonts w:ascii="Times New Roman" w:hAnsi="Times New Roman"/>
          <w:b w:val="0"/>
          <w:i w:val="0"/>
          <w:sz w:val="22"/>
        </w:rPr>
        <w:t>[8]  MongoDB Atlas Documentation. (2024). MongoDB Inc. https://www.mongodb.com/docs/atlas</w:t>
      </w:r>
    </w:p>
    <w:p>
      <w:pPr>
        <w:spacing w:after="120"/>
        <w:ind w:left="432" w:hanging="432"/>
      </w:pPr>
      <w:r>
        <w:rPr>
          <w:rFonts w:ascii="Times New Roman" w:hAnsi="Times New Roman"/>
          <w:b w:val="0"/>
          <w:i w:val="0"/>
          <w:sz w:val="22"/>
        </w:rPr>
        <w:t>[9]  Next.js Documentation. (2024). Vercel. https://nextjs.org/docs</w:t>
      </w:r>
    </w:p>
    <w:p>
      <w:pPr>
        <w:spacing w:after="120"/>
        <w:ind w:left="432" w:hanging="432"/>
      </w:pPr>
      <w:r>
        <w:rPr>
          <w:rFonts w:ascii="Times New Roman" w:hAnsi="Times New Roman"/>
          <w:b w:val="0"/>
          <w:i w:val="0"/>
          <w:sz w:val="22"/>
        </w:rPr>
        <w:t>[10] Binance WebSocket API Documentation. (2024). Binance. https://binance-docs.github.io/apidocs/spot/en/#websocket-market-streams</w:t>
      </w:r>
    </w:p>
    <w:p>
      <w:pPr>
        <w:spacing w:after="120"/>
        <w:ind w:left="432" w:hanging="432"/>
      </w:pPr>
      <w:r>
        <w:rPr>
          <w:rFonts w:ascii="Times New Roman" w:hAnsi="Times New Roman"/>
          <w:b w:val="0"/>
          <w:i w:val="0"/>
          <w:sz w:val="22"/>
        </w:rPr>
        <w:t>[11] ruptures: Change Point Detection in Python. (2024). Truong et al. https://centre-borelli.github.io/ruptures-docs/</w:t>
      </w:r>
    </w:p>
    <w:p>
      <w:pPr>
        <w:spacing w:after="120"/>
        <w:ind w:left="432" w:hanging="432"/>
      </w:pPr>
      <w:r>
        <w:rPr>
          <w:rFonts w:ascii="Times New Roman" w:hAnsi="Times New Roman"/>
          <w:b w:val="0"/>
          <w:i w:val="0"/>
          <w:sz w:val="22"/>
        </w:rPr>
        <w:t>[12] river: Online Machine Learning in Python. (2024). Montiel et al. https://riverml.xyz/latest/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