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color w:val="17365d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48"/>
          <w:szCs w:val="48"/>
          <w:rtl w:val="0"/>
        </w:rPr>
        <w:t xml:space="preserve">SQL Query Implementation for 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color w:val="17365d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48"/>
          <w:szCs w:val="48"/>
          <w:rtl w:val="0"/>
        </w:rPr>
        <w:t xml:space="preserve">E-Commerce Database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Project Title: E-Commerce Order Management Database System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                    Project Title 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Student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Name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: Sarulatha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Register Number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C4S38004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Department : B.Sc Artificial 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Course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Artificial intelligence (AI)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Academic Year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2024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libri" w:cs="Calibri" w:eastAsia="Calibri" w:hAnsi="Calibri"/>
          <w:b w:val="1"/>
          <w:bCs w:val="1"/>
          <w:color w:val="17365d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48"/>
          <w:szCs w:val="48"/>
          <w:rtl w:val="0"/>
        </w:rPr>
        <w:t xml:space="preserve">SQL Query Implementation for 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libri" w:cs="Calibri" w:eastAsia="Calibri" w:hAnsi="Calibri"/>
          <w:b w:val="1"/>
          <w:bCs w:val="1"/>
          <w:color w:val="17365d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48"/>
          <w:szCs w:val="48"/>
          <w:rtl w:val="0"/>
        </w:rPr>
        <w:t xml:space="preserve">E-Commerce Database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1. SELECT Query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Display all products: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Product;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8544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Display only product name and price: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SELECT ProductName, Price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FROM Product;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7401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2. WHERE Query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Products costing more than ₹10,000: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SELECT * FROM Product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WHERE Price &gt; 10000;</w:t>
      </w: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9750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Products costing less than ₹5,000: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Product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Price &lt; 5000;</w:t>
      </w: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8544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3. ORDER BY Query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Products from lowest to highest price: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Product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ORDER BY Price ASC;</w:t>
      </w: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8544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Products from highest to lowest price: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Product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ORDER BY Price DESC;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8544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4. DISTINCT Query</w:t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Display different product categories: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DISTINCT CategoryID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Product;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7401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Display different payment methods: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DISTINCT PaymentMode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Payment;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5605" cy="289179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9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5. Search Products by Price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Products between ₹1,000 and ₹30,000: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Product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Price BETWEEN 1000 AND 30000;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5605" cy="288163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8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6. Search Products by Category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Display products from category 1: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Product</w:t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CategoryID = 1;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5605" cy="289179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9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