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355E"/>
          <w:sz w:val="50"/>
        </w:rPr>
        <w:t>NOVEXA</w:t>
      </w:r>
    </w:p>
    <w:p>
      <w:pPr>
        <w:jc w:val="center"/>
      </w:pPr>
      <w:r>
        <w:rPr>
          <w:i/>
          <w:color w:val="50647D"/>
          <w:sz w:val="22"/>
        </w:rPr>
        <w:t>Task 2 — Content Marketing Strategy</w:t>
      </w:r>
    </w:p>
    <w:p>
      <w:pPr>
        <w:jc w:val="center"/>
      </w:pPr>
      <w:r>
        <w:rPr>
          <w:b/>
        </w:rPr>
        <w:t>CODTECH Digital Marketing Internship | Sample Portfolio Project</w:t>
      </w:r>
    </w:p>
    <w:p>
      <w:r>
        <w:t>Portfolio note: Novexa is a fictional sample brand. Strategies, keywords, sample captions, and review examples are illustrative, not evidence of a live campaign.</w:t>
      </w:r>
    </w:p>
    <w:p>
      <w:pPr>
        <w:pStyle w:val="Heading1"/>
      </w:pPr>
      <w:r>
        <w:t>1. Executive Summary</w:t>
      </w:r>
    </w:p>
    <w:p>
      <w:r>
        <w:t>This plan outlines a practical content marketing strategy for Novexa, a fictional skincare and self-care brand. The strategy uses educational, product-focused, community, and trust-building content to attract a relevant audience, answer common questions, and guide interested visitors toward product information.</w:t>
      </w:r>
    </w:p>
    <w:p>
      <w:pPr>
        <w:pStyle w:val="Heading1"/>
      </w:pPr>
      <w:r>
        <w:t>2. Brand Overview and Objectives</w:t>
      </w:r>
    </w:p>
    <w:p>
      <w:r>
        <w:t>Novexa is treated as a fictional skincare and self-care brand created for this internship portfolio. Its assumed product range includes a gentle cleanser, hydrating serum, daily moisturiser, and sunscreen. No real campaign results, customer reviews, or business claims are represented as factual.</w:t>
      </w:r>
    </w:p>
    <w:p>
      <w:pPr>
        <w:pStyle w:val="ListBullet"/>
      </w:pPr>
      <w:r>
        <w:t>Build awareness among people seeking simple, understandable skincare guidance.</w:t>
      </w:r>
    </w:p>
    <w:p>
      <w:pPr>
        <w:pStyle w:val="ListBullet"/>
      </w:pPr>
      <w:r>
        <w:t>Educate the audience about routine basics, product labels, and responsible product use.</w:t>
      </w:r>
    </w:p>
    <w:p>
      <w:pPr>
        <w:pStyle w:val="ListBullet"/>
      </w:pPr>
      <w:r>
        <w:t>Encourage meaningful engagement through questions, polls, saves, and shares.</w:t>
      </w:r>
    </w:p>
    <w:p>
      <w:pPr>
        <w:pStyle w:val="ListBullet"/>
      </w:pPr>
      <w:r>
        <w:t>Support website discovery through search-friendly educational articles and social promotion.</w:t>
      </w:r>
    </w:p>
    <w:p>
      <w:pPr>
        <w:pStyle w:val="ListBullet"/>
      </w:pPr>
      <w:r>
        <w:t>Build trust by using clear language and avoiding guaranteed or medical-style product claims.</w:t>
      </w:r>
    </w:p>
    <w:p>
      <w:pPr>
        <w:pStyle w:val="Heading1"/>
      </w:pPr>
      <w:r>
        <w:t>3. Target Audience</w:t>
      </w:r>
    </w:p>
    <w:p>
      <w:r>
        <w:t>Primary audience: adults aged approximately 18–35 who are interested in simple skincare routines, ingredient education, self-care, and convenient online shopping. The audience is illustrative and should be validated through real research if this were a live campaign.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shd w:fill="1F355E"/>
            <w:vAlign w:val="center"/>
          </w:tcPr>
          <w:p>
            <w:r>
              <w:rPr>
                <w:b/>
                <w:color w:val="FFFFFF"/>
              </w:rPr>
              <w:t>Audience segment</w:t>
            </w:r>
          </w:p>
        </w:tc>
        <w:tc>
          <w:tcPr>
            <w:tcW w:type="dxa" w:w="3312"/>
            <w:shd w:fill="1F355E"/>
            <w:vAlign w:val="center"/>
          </w:tcPr>
          <w:p>
            <w:r>
              <w:rPr>
                <w:b/>
                <w:color w:val="FFFFFF"/>
              </w:rPr>
              <w:t>Needs / questions</w:t>
            </w:r>
          </w:p>
        </w:tc>
        <w:tc>
          <w:tcPr>
            <w:tcW w:type="dxa" w:w="4032"/>
            <w:shd w:fill="1F355E"/>
            <w:vAlign w:val="center"/>
          </w:tcPr>
          <w:p>
            <w:r>
              <w:rPr>
                <w:b/>
                <w:color w:val="FFFFFF"/>
              </w:rPr>
              <w:t>Content response</w:t>
            </w:r>
          </w:p>
        </w:tc>
      </w:tr>
      <w:tr>
        <w:tc>
          <w:tcPr>
            <w:tcW w:type="dxa" w:w="2232"/>
            <w:vAlign w:val="top"/>
          </w:tcPr>
          <w:p>
            <w:r>
              <w:t>Skincare beginners</w:t>
            </w:r>
          </w:p>
        </w:tc>
        <w:tc>
          <w:tcPr>
            <w:tcW w:type="dxa" w:w="3312"/>
            <w:vAlign w:val="top"/>
          </w:tcPr>
          <w:p>
            <w:r>
              <w:t>What steps should I start with?</w:t>
            </w:r>
          </w:p>
        </w:tc>
        <w:tc>
          <w:tcPr>
            <w:tcW w:type="dxa" w:w="4032"/>
            <w:vAlign w:val="top"/>
          </w:tcPr>
          <w:p>
            <w:r>
              <w:t>Beginner routines, simple checklists, FAQs</w:t>
            </w:r>
          </w:p>
        </w:tc>
      </w:tr>
      <w:tr>
        <w:tc>
          <w:tcPr>
            <w:tcW w:type="dxa" w:w="2232"/>
            <w:vAlign w:val="top"/>
            <w:shd w:fill="F3F6FA"/>
          </w:tcPr>
          <w:p>
            <w:r>
              <w:t>Busy students and professionals</w:t>
            </w:r>
          </w:p>
        </w:tc>
        <w:tc>
          <w:tcPr>
            <w:tcW w:type="dxa" w:w="3312"/>
            <w:vAlign w:val="top"/>
            <w:shd w:fill="F3F6FA"/>
          </w:tcPr>
          <w:p>
            <w:r>
              <w:t>How can I keep a routine manageable?</w:t>
            </w:r>
          </w:p>
        </w:tc>
        <w:tc>
          <w:tcPr>
            <w:tcW w:type="dxa" w:w="4032"/>
            <w:vAlign w:val="top"/>
            <w:shd w:fill="F3F6FA"/>
          </w:tcPr>
          <w:p>
            <w:r>
              <w:t>Short videos, routine reminders, concise carousels</w:t>
            </w:r>
          </w:p>
        </w:tc>
      </w:tr>
      <w:tr>
        <w:tc>
          <w:tcPr>
            <w:tcW w:type="dxa" w:w="2232"/>
            <w:vAlign w:val="top"/>
          </w:tcPr>
          <w:p>
            <w:r>
              <w:t>Ingredient-conscious shoppers</w:t>
            </w:r>
          </w:p>
        </w:tc>
        <w:tc>
          <w:tcPr>
            <w:tcW w:type="dxa" w:w="3312"/>
            <w:vAlign w:val="top"/>
          </w:tcPr>
          <w:p>
            <w:r>
              <w:t>How do I understand labels?</w:t>
            </w:r>
          </w:p>
        </w:tc>
        <w:tc>
          <w:tcPr>
            <w:tcW w:type="dxa" w:w="4032"/>
            <w:vAlign w:val="top"/>
          </w:tcPr>
          <w:p>
            <w:r>
              <w:t>Ingredient explainers, label-reading guides, glossary posts</w:t>
            </w:r>
          </w:p>
        </w:tc>
      </w:tr>
      <w:tr>
        <w:tc>
          <w:tcPr>
            <w:tcW w:type="dxa" w:w="2232"/>
            <w:vAlign w:val="top"/>
            <w:shd w:fill="F3F6FA"/>
          </w:tcPr>
          <w:p>
            <w:r>
              <w:t>Online product researchers</w:t>
            </w:r>
          </w:p>
        </w:tc>
        <w:tc>
          <w:tcPr>
            <w:tcW w:type="dxa" w:w="3312"/>
            <w:vAlign w:val="top"/>
            <w:shd w:fill="F3F6FA"/>
          </w:tcPr>
          <w:p>
            <w:r>
              <w:t>How do I compare products responsibly?</w:t>
            </w:r>
          </w:p>
        </w:tc>
        <w:tc>
          <w:tcPr>
            <w:tcW w:type="dxa" w:w="4032"/>
            <w:vAlign w:val="top"/>
            <w:shd w:fill="F3F6FA"/>
          </w:tcPr>
          <w:p>
            <w:r>
              <w:t>Product information pages, comparison checklists, clear FAQs</w:t>
            </w:r>
          </w:p>
        </w:tc>
      </w:tr>
    </w:tbl>
    <w:p>
      <w:pPr>
        <w:pStyle w:val="Heading1"/>
      </w:pPr>
      <w:r>
        <w:t>4. Content Pillars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shd w:fill="1F355E"/>
            <w:vAlign w:val="center"/>
          </w:tcPr>
          <w:p>
            <w:r>
              <w:rPr>
                <w:b/>
                <w:color w:val="FFFFFF"/>
              </w:rPr>
              <w:t>Pillar</w:t>
            </w:r>
          </w:p>
        </w:tc>
        <w:tc>
          <w:tcPr>
            <w:tcW w:type="dxa" w:w="3528"/>
            <w:shd w:fill="1F355E"/>
            <w:vAlign w:val="center"/>
          </w:tcPr>
          <w:p>
            <w:r>
              <w:rPr>
                <w:b/>
                <w:color w:val="FFFFFF"/>
              </w:rPr>
              <w:t>Purpose</w:t>
            </w:r>
          </w:p>
        </w:tc>
        <w:tc>
          <w:tcPr>
            <w:tcW w:type="dxa" w:w="3816"/>
            <w:shd w:fill="1F355E"/>
            <w:vAlign w:val="center"/>
          </w:tcPr>
          <w:p>
            <w:r>
              <w:rPr>
                <w:b/>
                <w:color w:val="FFFFFF"/>
              </w:rPr>
              <w:t>Example formats</w:t>
            </w:r>
          </w:p>
        </w:tc>
      </w:tr>
      <w:tr>
        <w:tc>
          <w:tcPr>
            <w:tcW w:type="dxa" w:w="2232"/>
            <w:vAlign w:val="top"/>
          </w:tcPr>
          <w:p>
            <w:r>
              <w:t>Skincare education</w:t>
            </w:r>
          </w:p>
        </w:tc>
        <w:tc>
          <w:tcPr>
            <w:tcW w:type="dxa" w:w="3528"/>
            <w:vAlign w:val="top"/>
          </w:tcPr>
          <w:p>
            <w:r>
              <w:t>Help users understand routine basics and common terms</w:t>
            </w:r>
          </w:p>
        </w:tc>
        <w:tc>
          <w:tcPr>
            <w:tcW w:type="dxa" w:w="3816"/>
            <w:vAlign w:val="top"/>
          </w:tcPr>
          <w:p>
            <w:r>
              <w:t>Carousels, blog articles, short videos</w:t>
            </w:r>
          </w:p>
        </w:tc>
      </w:tr>
      <w:tr>
        <w:tc>
          <w:tcPr>
            <w:tcW w:type="dxa" w:w="2232"/>
            <w:vAlign w:val="top"/>
            <w:shd w:fill="F3F6FA"/>
          </w:tcPr>
          <w:p>
            <w:r>
              <w:t>Product education</w:t>
            </w:r>
          </w:p>
        </w:tc>
        <w:tc>
          <w:tcPr>
            <w:tcW w:type="dxa" w:w="3528"/>
            <w:vAlign w:val="top"/>
            <w:shd w:fill="F3F6FA"/>
          </w:tcPr>
          <w:p>
            <w:r>
              <w:t>Explain intended use, texture, directions, and ingredients accurately</w:t>
            </w:r>
          </w:p>
        </w:tc>
        <w:tc>
          <w:tcPr>
            <w:tcW w:type="dxa" w:w="3816"/>
            <w:vAlign w:val="top"/>
            <w:shd w:fill="F3F6FA"/>
          </w:tcPr>
          <w:p>
            <w:r>
              <w:t>Product spotlights, FAQs, product pages</w:t>
            </w:r>
          </w:p>
        </w:tc>
      </w:tr>
      <w:tr>
        <w:tc>
          <w:tcPr>
            <w:tcW w:type="dxa" w:w="2232"/>
            <w:vAlign w:val="top"/>
          </w:tcPr>
          <w:p>
            <w:r>
              <w:t>Brand story and process</w:t>
            </w:r>
          </w:p>
        </w:tc>
        <w:tc>
          <w:tcPr>
            <w:tcW w:type="dxa" w:w="3528"/>
            <w:vAlign w:val="top"/>
          </w:tcPr>
          <w:p>
            <w:r>
              <w:t>Make the brand identity recognisable and transparent</w:t>
            </w:r>
          </w:p>
        </w:tc>
        <w:tc>
          <w:tcPr>
            <w:tcW w:type="dxa" w:w="3816"/>
            <w:vAlign w:val="top"/>
          </w:tcPr>
          <w:p>
            <w:r>
              <w:t>Moodboards, packaging concepts, behind-the-scenes</w:t>
            </w:r>
          </w:p>
        </w:tc>
      </w:tr>
      <w:tr>
        <w:tc>
          <w:tcPr>
            <w:tcW w:type="dxa" w:w="2232"/>
            <w:vAlign w:val="top"/>
            <w:shd w:fill="F3F6FA"/>
          </w:tcPr>
          <w:p>
            <w:r>
              <w:t>Community engagement</w:t>
            </w:r>
          </w:p>
        </w:tc>
        <w:tc>
          <w:tcPr>
            <w:tcW w:type="dxa" w:w="3528"/>
            <w:vAlign w:val="top"/>
            <w:shd w:fill="F3F6FA"/>
          </w:tcPr>
          <w:p>
            <w:r>
              <w:t>Invite questions and learn what the audience wants</w:t>
            </w:r>
          </w:p>
        </w:tc>
        <w:tc>
          <w:tcPr>
            <w:tcW w:type="dxa" w:w="3816"/>
            <w:vAlign w:val="top"/>
            <w:shd w:fill="F3F6FA"/>
          </w:tcPr>
          <w:p>
            <w:r>
              <w:t>Polls, Q&amp;A stickers, comment prompts</w:t>
            </w:r>
          </w:p>
        </w:tc>
      </w:tr>
      <w:tr>
        <w:tc>
          <w:tcPr>
            <w:tcW w:type="dxa" w:w="2232"/>
            <w:vAlign w:val="top"/>
          </w:tcPr>
          <w:p>
            <w:r>
              <w:t>Trust and responsible claims</w:t>
            </w:r>
          </w:p>
        </w:tc>
        <w:tc>
          <w:tcPr>
            <w:tcW w:type="dxa" w:w="3528"/>
            <w:vAlign w:val="top"/>
          </w:tcPr>
          <w:p>
            <w:r>
              <w:t>Set realistic expectations and promote informed choices</w:t>
            </w:r>
          </w:p>
        </w:tc>
        <w:tc>
          <w:tcPr>
            <w:tcW w:type="dxa" w:w="3816"/>
            <w:vAlign w:val="top"/>
          </w:tcPr>
          <w:p>
            <w:r>
              <w:t>Label-reading tips, clear policies, myth-vs-fact posts</w:t>
            </w:r>
          </w:p>
        </w:tc>
      </w:tr>
      <w:tr>
        <w:tc>
          <w:tcPr>
            <w:tcW w:type="dxa" w:w="2232"/>
            <w:vAlign w:val="top"/>
            <w:shd w:fill="F3F6FA"/>
          </w:tcPr>
          <w:p>
            <w:r>
              <w:t>Self-care lifestyle</w:t>
            </w:r>
          </w:p>
        </w:tc>
        <w:tc>
          <w:tcPr>
            <w:tcW w:type="dxa" w:w="3528"/>
            <w:vAlign w:val="top"/>
            <w:shd w:fill="F3F6FA"/>
          </w:tcPr>
          <w:p>
            <w:r>
              <w:t>Connect the brand with simple daily habits</w:t>
            </w:r>
          </w:p>
        </w:tc>
        <w:tc>
          <w:tcPr>
            <w:tcW w:type="dxa" w:w="3816"/>
            <w:vAlign w:val="top"/>
            <w:shd w:fill="F3F6FA"/>
          </w:tcPr>
          <w:p>
            <w:r>
              <w:t>Routine reminders, weekend reset, habit prompts</w:t>
            </w:r>
          </w:p>
        </w:tc>
      </w:tr>
    </w:tbl>
    <w:p>
      <w:pPr>
        <w:pStyle w:val="Heading1"/>
      </w:pPr>
      <w:r>
        <w:t>5. Suggested Blog Topics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960"/>
            <w:shd w:fill="1F355E"/>
            <w:vAlign w:val="center"/>
          </w:tcPr>
          <w:p>
            <w:r>
              <w:rPr>
                <w:b/>
                <w:color w:val="FFFFFF"/>
              </w:rPr>
              <w:t>Proposed blog title</w:t>
            </w:r>
          </w:p>
        </w:tc>
        <w:tc>
          <w:tcPr>
            <w:tcW w:type="dxa" w:w="2232"/>
            <w:shd w:fill="1F355E"/>
            <w:vAlign w:val="center"/>
          </w:tcPr>
          <w:p>
            <w:r>
              <w:rPr>
                <w:b/>
                <w:color w:val="FFFFFF"/>
              </w:rPr>
              <w:t>Search intent</w:t>
            </w:r>
          </w:p>
        </w:tc>
        <w:tc>
          <w:tcPr>
            <w:tcW w:type="dxa" w:w="3384"/>
            <w:shd w:fill="1F355E"/>
            <w:vAlign w:val="center"/>
          </w:tcPr>
          <w:p>
            <w:r>
              <w:rPr>
                <w:b/>
                <w:color w:val="FFFFFF"/>
              </w:rPr>
              <w:t>Main angle</w:t>
            </w:r>
          </w:p>
        </w:tc>
      </w:tr>
      <w:tr>
        <w:tc>
          <w:tcPr>
            <w:tcW w:type="dxa" w:w="3960"/>
            <w:vAlign w:val="top"/>
          </w:tcPr>
          <w:p>
            <w:r>
              <w:t>A Simple Skincare Routine for Beginners</w:t>
            </w:r>
          </w:p>
        </w:tc>
        <w:tc>
          <w:tcPr>
            <w:tcW w:type="dxa" w:w="2232"/>
            <w:vAlign w:val="top"/>
          </w:tcPr>
          <w:p>
            <w:r>
              <w:t>Informational</w:t>
            </w:r>
          </w:p>
        </w:tc>
        <w:tc>
          <w:tcPr>
            <w:tcW w:type="dxa" w:w="3384"/>
            <w:vAlign w:val="top"/>
          </w:tcPr>
          <w:p>
            <w:r>
              <w:t>Routine steps and FAQs</w:t>
            </w:r>
          </w:p>
        </w:tc>
      </w:tr>
      <w:tr>
        <w:tc>
          <w:tcPr>
            <w:tcW w:type="dxa" w:w="3960"/>
            <w:vAlign w:val="top"/>
            <w:shd w:fill="F3F6FA"/>
          </w:tcPr>
          <w:p>
            <w:r>
              <w:t>How to Read a Skincare Product Label</w:t>
            </w:r>
          </w:p>
        </w:tc>
        <w:tc>
          <w:tcPr>
            <w:tcW w:type="dxa" w:w="2232"/>
            <w:vAlign w:val="top"/>
            <w:shd w:fill="F3F6FA"/>
          </w:tcPr>
          <w:p>
            <w:r>
              <w:t>Informational</w:t>
            </w:r>
          </w:p>
        </w:tc>
        <w:tc>
          <w:tcPr>
            <w:tcW w:type="dxa" w:w="3384"/>
            <w:vAlign w:val="top"/>
            <w:shd w:fill="F3F6FA"/>
          </w:tcPr>
          <w:p>
            <w:r>
              <w:t>Ingredients, directions, warnings, expiry information</w:t>
            </w:r>
          </w:p>
        </w:tc>
      </w:tr>
      <w:tr>
        <w:tc>
          <w:tcPr>
            <w:tcW w:type="dxa" w:w="3960"/>
            <w:vAlign w:val="top"/>
          </w:tcPr>
          <w:p>
            <w:r>
              <w:t>Cleanser, Serum, and Moisturiser: What Does Each Do?</w:t>
            </w:r>
          </w:p>
        </w:tc>
        <w:tc>
          <w:tcPr>
            <w:tcW w:type="dxa" w:w="2232"/>
            <w:vAlign w:val="top"/>
          </w:tcPr>
          <w:p>
            <w:r>
              <w:t>Informational</w:t>
            </w:r>
          </w:p>
        </w:tc>
        <w:tc>
          <w:tcPr>
            <w:tcW w:type="dxa" w:w="3384"/>
            <w:vAlign w:val="top"/>
          </w:tcPr>
          <w:p>
            <w:r>
              <w:t>Product category education</w:t>
            </w:r>
          </w:p>
        </w:tc>
      </w:tr>
      <w:tr>
        <w:tc>
          <w:tcPr>
            <w:tcW w:type="dxa" w:w="3960"/>
            <w:vAlign w:val="top"/>
            <w:shd w:fill="F3F6FA"/>
          </w:tcPr>
          <w:p>
            <w:r>
              <w:t>How to Introduce a New Skincare Product Gradually</w:t>
            </w:r>
          </w:p>
        </w:tc>
        <w:tc>
          <w:tcPr>
            <w:tcW w:type="dxa" w:w="2232"/>
            <w:vAlign w:val="top"/>
            <w:shd w:fill="F3F6FA"/>
          </w:tcPr>
          <w:p>
            <w:r>
              <w:t>Informational</w:t>
            </w:r>
          </w:p>
        </w:tc>
        <w:tc>
          <w:tcPr>
            <w:tcW w:type="dxa" w:w="3384"/>
            <w:vAlign w:val="top"/>
            <w:shd w:fill="F3F6FA"/>
          </w:tcPr>
          <w:p>
            <w:r>
              <w:t>Responsible use and patch-testing basics</w:t>
            </w:r>
          </w:p>
        </w:tc>
      </w:tr>
      <w:tr>
        <w:tc>
          <w:tcPr>
            <w:tcW w:type="dxa" w:w="3960"/>
            <w:vAlign w:val="top"/>
          </w:tcPr>
          <w:p>
            <w:r>
              <w:t>Common Skincare Myths: A Practical Fact Check</w:t>
            </w:r>
          </w:p>
        </w:tc>
        <w:tc>
          <w:tcPr>
            <w:tcW w:type="dxa" w:w="2232"/>
            <w:vAlign w:val="top"/>
          </w:tcPr>
          <w:p>
            <w:r>
              <w:t>Informational</w:t>
            </w:r>
          </w:p>
        </w:tc>
        <w:tc>
          <w:tcPr>
            <w:tcW w:type="dxa" w:w="3384"/>
            <w:vAlign w:val="top"/>
          </w:tcPr>
          <w:p>
            <w:r>
              <w:t>Myth-vs-fact education</w:t>
            </w:r>
          </w:p>
        </w:tc>
      </w:tr>
      <w:tr>
        <w:tc>
          <w:tcPr>
            <w:tcW w:type="dxa" w:w="3960"/>
            <w:vAlign w:val="top"/>
            <w:shd w:fill="F3F6FA"/>
          </w:tcPr>
          <w:p>
            <w:r>
              <w:t>How to Compare Skincare Products Beyond Packaging</w:t>
            </w:r>
          </w:p>
        </w:tc>
        <w:tc>
          <w:tcPr>
            <w:tcW w:type="dxa" w:w="2232"/>
            <w:vAlign w:val="top"/>
            <w:shd w:fill="F3F6FA"/>
          </w:tcPr>
          <w:p>
            <w:r>
              <w:t>Commercial investigation</w:t>
            </w:r>
          </w:p>
        </w:tc>
        <w:tc>
          <w:tcPr>
            <w:tcW w:type="dxa" w:w="3384"/>
            <w:vAlign w:val="top"/>
            <w:shd w:fill="F3F6FA"/>
          </w:tcPr>
          <w:p>
            <w:r>
              <w:t>Ingredients, instructions, texture, suitability</w:t>
            </w:r>
          </w:p>
        </w:tc>
      </w:tr>
      <w:tr>
        <w:tc>
          <w:tcPr>
            <w:tcW w:type="dxa" w:w="3960"/>
            <w:vAlign w:val="top"/>
          </w:tcPr>
          <w:p>
            <w:r>
              <w:t>A Simple Guide to Daytime Sun Protection</w:t>
            </w:r>
          </w:p>
        </w:tc>
        <w:tc>
          <w:tcPr>
            <w:tcW w:type="dxa" w:w="2232"/>
            <w:vAlign w:val="top"/>
          </w:tcPr>
          <w:p>
            <w:r>
              <w:t>Informational</w:t>
            </w:r>
          </w:p>
        </w:tc>
        <w:tc>
          <w:tcPr>
            <w:tcW w:type="dxa" w:w="3384"/>
            <w:vAlign w:val="top"/>
          </w:tcPr>
          <w:p>
            <w:r>
              <w:t>Sunscreen directions and sun-care habits</w:t>
            </w:r>
          </w:p>
        </w:tc>
      </w:tr>
      <w:tr>
        <w:tc>
          <w:tcPr>
            <w:tcW w:type="dxa" w:w="3960"/>
            <w:vAlign w:val="top"/>
            <w:shd w:fill="F3F6FA"/>
          </w:tcPr>
          <w:p>
            <w:r>
              <w:t>Building a Consistent Self-Care Routine When You’re Busy</w:t>
            </w:r>
          </w:p>
        </w:tc>
        <w:tc>
          <w:tcPr>
            <w:tcW w:type="dxa" w:w="2232"/>
            <w:vAlign w:val="top"/>
            <w:shd w:fill="F3F6FA"/>
          </w:tcPr>
          <w:p>
            <w:r>
              <w:t>Informational</w:t>
            </w:r>
          </w:p>
        </w:tc>
        <w:tc>
          <w:tcPr>
            <w:tcW w:type="dxa" w:w="3384"/>
            <w:vAlign w:val="top"/>
            <w:shd w:fill="F3F6FA"/>
          </w:tcPr>
          <w:p>
            <w:r>
              <w:t>Habit-building and routine simplicity</w:t>
            </w:r>
          </w:p>
        </w:tc>
      </w:tr>
      <w:tr>
        <w:tc>
          <w:tcPr>
            <w:tcW w:type="dxa" w:w="3960"/>
            <w:vAlign w:val="top"/>
          </w:tcPr>
          <w:p>
            <w:r>
              <w:t>Frequently Asked Questions About Novexa Products</w:t>
            </w:r>
          </w:p>
        </w:tc>
        <w:tc>
          <w:tcPr>
            <w:tcW w:type="dxa" w:w="2232"/>
            <w:vAlign w:val="top"/>
          </w:tcPr>
          <w:p>
            <w:r>
              <w:t>Brand / product support</w:t>
            </w:r>
          </w:p>
        </w:tc>
        <w:tc>
          <w:tcPr>
            <w:tcW w:type="dxa" w:w="3384"/>
            <w:vAlign w:val="top"/>
          </w:tcPr>
          <w:p>
            <w:r>
              <w:t>Product information and usage questions</w:t>
            </w:r>
          </w:p>
        </w:tc>
      </w:tr>
      <w:tr>
        <w:tc>
          <w:tcPr>
            <w:tcW w:type="dxa" w:w="3960"/>
            <w:vAlign w:val="top"/>
            <w:shd w:fill="F3F6FA"/>
          </w:tcPr>
          <w:p>
            <w:r>
              <w:t>What Does ‘Hydration’ Mean in Skincare?</w:t>
            </w:r>
          </w:p>
        </w:tc>
        <w:tc>
          <w:tcPr>
            <w:tcW w:type="dxa" w:w="2232"/>
            <w:vAlign w:val="top"/>
            <w:shd w:fill="F3F6FA"/>
          </w:tcPr>
          <w:p>
            <w:r>
              <w:t>Informational</w:t>
            </w:r>
          </w:p>
        </w:tc>
        <w:tc>
          <w:tcPr>
            <w:tcW w:type="dxa" w:w="3384"/>
            <w:vAlign w:val="top"/>
            <w:shd w:fill="F3F6FA"/>
          </w:tcPr>
          <w:p>
            <w:r>
              <w:t>Plain-language glossary</w:t>
            </w:r>
          </w:p>
        </w:tc>
      </w:tr>
    </w:tbl>
    <w:p>
      <w:pPr>
        <w:pStyle w:val="Heading1"/>
      </w:pPr>
      <w:r>
        <w:t>6. Channel Strategy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088"/>
            <w:shd w:fill="1F355E"/>
            <w:vAlign w:val="center"/>
          </w:tcPr>
          <w:p>
            <w:r>
              <w:rPr>
                <w:b/>
                <w:color w:val="FFFFFF"/>
              </w:rPr>
              <w:t>Channel</w:t>
            </w:r>
          </w:p>
        </w:tc>
        <w:tc>
          <w:tcPr>
            <w:tcW w:type="dxa" w:w="2520"/>
            <w:shd w:fill="1F355E"/>
            <w:vAlign w:val="center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4968"/>
            <w:shd w:fill="1F355E"/>
            <w:vAlign w:val="center"/>
          </w:tcPr>
          <w:p>
            <w:r>
              <w:rPr>
                <w:b/>
                <w:color w:val="FFFFFF"/>
              </w:rPr>
              <w:t>Execution</w:t>
            </w:r>
          </w:p>
        </w:tc>
      </w:tr>
      <w:tr>
        <w:tc>
          <w:tcPr>
            <w:tcW w:type="dxa" w:w="2088"/>
            <w:vAlign w:val="top"/>
          </w:tcPr>
          <w:p>
            <w:r>
              <w:t>Website / blog</w:t>
            </w:r>
          </w:p>
        </w:tc>
        <w:tc>
          <w:tcPr>
            <w:tcW w:type="dxa" w:w="2520"/>
            <w:vAlign w:val="top"/>
          </w:tcPr>
          <w:p>
            <w:r>
              <w:t>Search discovery and detailed answers</w:t>
            </w:r>
          </w:p>
        </w:tc>
        <w:tc>
          <w:tcPr>
            <w:tcW w:type="dxa" w:w="4968"/>
            <w:vAlign w:val="top"/>
          </w:tcPr>
          <w:p>
            <w:r>
              <w:t>Publish helpful articles, clear headings, internal links, product links, and FAQs</w:t>
            </w:r>
          </w:p>
        </w:tc>
      </w:tr>
      <w:tr>
        <w:tc>
          <w:tcPr>
            <w:tcW w:type="dxa" w:w="2088"/>
            <w:vAlign w:val="top"/>
            <w:shd w:fill="F3F6FA"/>
          </w:tcPr>
          <w:p>
            <w:r>
              <w:t>Instagram</w:t>
            </w:r>
          </w:p>
        </w:tc>
        <w:tc>
          <w:tcPr>
            <w:tcW w:type="dxa" w:w="2520"/>
            <w:vAlign w:val="top"/>
            <w:shd w:fill="F3F6FA"/>
          </w:tcPr>
          <w:p>
            <w:r>
              <w:t>Visual awareness and community</w:t>
            </w:r>
          </w:p>
        </w:tc>
        <w:tc>
          <w:tcPr>
            <w:tcW w:type="dxa" w:w="4968"/>
            <w:vAlign w:val="top"/>
            <w:shd w:fill="F3F6FA"/>
          </w:tcPr>
          <w:p>
            <w:r>
              <w:t>Carousels, short videos, Stories polls, Q&amp;A, product visuals</w:t>
            </w:r>
          </w:p>
        </w:tc>
      </w:tr>
      <w:tr>
        <w:tc>
          <w:tcPr>
            <w:tcW w:type="dxa" w:w="2088"/>
            <w:vAlign w:val="top"/>
          </w:tcPr>
          <w:p>
            <w:r>
              <w:t>Facebook</w:t>
            </w:r>
          </w:p>
        </w:tc>
        <w:tc>
          <w:tcPr>
            <w:tcW w:type="dxa" w:w="2520"/>
            <w:vAlign w:val="top"/>
          </w:tcPr>
          <w:p>
            <w:r>
              <w:t>Reach and discussion</w:t>
            </w:r>
          </w:p>
        </w:tc>
        <w:tc>
          <w:tcPr>
            <w:tcW w:type="dxa" w:w="4968"/>
            <w:vAlign w:val="top"/>
          </w:tcPr>
          <w:p>
            <w:r>
              <w:t>Repurpose key tips, FAQs, and community prompts</w:t>
            </w:r>
          </w:p>
        </w:tc>
      </w:tr>
      <w:tr>
        <w:tc>
          <w:tcPr>
            <w:tcW w:type="dxa" w:w="2088"/>
            <w:vAlign w:val="top"/>
            <w:shd w:fill="F3F6FA"/>
          </w:tcPr>
          <w:p>
            <w:r>
              <w:t>Pinterest</w:t>
            </w:r>
          </w:p>
        </w:tc>
        <w:tc>
          <w:tcPr>
            <w:tcW w:type="dxa" w:w="2520"/>
            <w:vAlign w:val="top"/>
            <w:shd w:fill="F3F6FA"/>
          </w:tcPr>
          <w:p>
            <w:r>
              <w:t>Evergreen visual discovery</w:t>
            </w:r>
          </w:p>
        </w:tc>
        <w:tc>
          <w:tcPr>
            <w:tcW w:type="dxa" w:w="4968"/>
            <w:vAlign w:val="top"/>
            <w:shd w:fill="F3F6FA"/>
          </w:tcPr>
          <w:p>
            <w:r>
              <w:t>Saveable routine checklists, label-reading guides, infographics</w:t>
            </w:r>
          </w:p>
        </w:tc>
      </w:tr>
      <w:tr>
        <w:tc>
          <w:tcPr>
            <w:tcW w:type="dxa" w:w="2088"/>
            <w:vAlign w:val="top"/>
          </w:tcPr>
          <w:p>
            <w:r>
              <w:t>Email newsletter (if available)</w:t>
            </w:r>
          </w:p>
        </w:tc>
        <w:tc>
          <w:tcPr>
            <w:tcW w:type="dxa" w:w="2520"/>
            <w:vAlign w:val="top"/>
          </w:tcPr>
          <w:p>
            <w:r>
              <w:t>Retention</w:t>
            </w:r>
          </w:p>
        </w:tc>
        <w:tc>
          <w:tcPr>
            <w:tcW w:type="dxa" w:w="4968"/>
            <w:vAlign w:val="top"/>
          </w:tcPr>
          <w:p>
            <w:r>
              <w:t>Monthly roundup, new articles, useful routine reminders</w:t>
            </w:r>
          </w:p>
        </w:tc>
      </w:tr>
      <w:tr>
        <w:tc>
          <w:tcPr>
            <w:tcW w:type="dxa" w:w="2088"/>
            <w:vAlign w:val="top"/>
            <w:shd w:fill="F3F6FA"/>
          </w:tcPr>
          <w:p>
            <w:r>
              <w:t>LinkedIn</w:t>
            </w:r>
          </w:p>
        </w:tc>
        <w:tc>
          <w:tcPr>
            <w:tcW w:type="dxa" w:w="2520"/>
            <w:vAlign w:val="top"/>
            <w:shd w:fill="F3F6FA"/>
          </w:tcPr>
          <w:p>
            <w:r>
              <w:t>Professional portfolio / brand process</w:t>
            </w:r>
          </w:p>
        </w:tc>
        <w:tc>
          <w:tcPr>
            <w:tcW w:type="dxa" w:w="4968"/>
            <w:vAlign w:val="top"/>
            <w:shd w:fill="F3F6FA"/>
          </w:tcPr>
          <w:p>
            <w:r>
              <w:t>Share educational content planning and responsible marketing principles</w:t>
            </w:r>
          </w:p>
        </w:tc>
      </w:tr>
    </w:tbl>
    <w:p>
      <w:pPr>
        <w:pStyle w:val="Heading1"/>
      </w:pPr>
      <w:r>
        <w:t>7. Content Production Workflow</w:t>
      </w:r>
    </w:p>
    <w:p>
      <w:pPr>
        <w:pStyle w:val="ListNumber"/>
      </w:pPr>
      <w:r>
        <w:t>Research: list audience questions, search suggestions, FAQs, and relevant competitor content.</w:t>
      </w:r>
    </w:p>
    <w:p>
      <w:pPr>
        <w:pStyle w:val="ListNumber"/>
      </w:pPr>
      <w:r>
        <w:t>Plan: map each topic to a content pillar, audience need, format, and objective.</w:t>
      </w:r>
    </w:p>
    <w:p>
      <w:pPr>
        <w:pStyle w:val="ListNumber"/>
      </w:pPr>
      <w:r>
        <w:t>Create: draft accurate copy, design accessible visuals, and include a clear but non-pushy call to action.</w:t>
      </w:r>
    </w:p>
    <w:p>
      <w:pPr>
        <w:pStyle w:val="ListNumber"/>
      </w:pPr>
      <w:r>
        <w:t>Review: check spelling, readability, product accuracy, accessibility, and claims.</w:t>
      </w:r>
    </w:p>
    <w:p>
      <w:pPr>
        <w:pStyle w:val="ListNumber"/>
      </w:pPr>
      <w:r>
        <w:t>Publish: schedule content in a calendar and add suitable platform-specific formatting.</w:t>
      </w:r>
    </w:p>
    <w:p>
      <w:pPr>
        <w:pStyle w:val="ListNumber"/>
      </w:pPr>
      <w:r>
        <w:t>Repurpose: turn a blog article into a carousel, short video, Story sequence, and email snippet.</w:t>
      </w:r>
    </w:p>
    <w:p>
      <w:pPr>
        <w:pStyle w:val="ListNumber"/>
      </w:pPr>
      <w:r>
        <w:t>Measure: review platform analytics weekly and use findings to adjust the next content batch.</w:t>
      </w:r>
    </w:p>
    <w:p>
      <w:pPr>
        <w:pStyle w:val="Heading1"/>
      </w:pPr>
      <w:r>
        <w:t>8. Measurement and KPIs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232"/>
            <w:shd w:fill="1F355E"/>
            <w:vAlign w:val="center"/>
          </w:tcPr>
          <w:p>
            <w:r>
              <w:rPr>
                <w:b/>
                <w:color w:val="FFFFFF"/>
              </w:rPr>
              <w:t>Objective</w:t>
            </w:r>
          </w:p>
        </w:tc>
        <w:tc>
          <w:tcPr>
            <w:tcW w:type="dxa" w:w="4320"/>
            <w:shd w:fill="1F355E"/>
            <w:vAlign w:val="center"/>
          </w:tcPr>
          <w:p>
            <w:r>
              <w:rPr>
                <w:b/>
                <w:color w:val="FFFFFF"/>
              </w:rPr>
              <w:t>Possible KPI</w:t>
            </w:r>
          </w:p>
        </w:tc>
        <w:tc>
          <w:tcPr>
            <w:tcW w:type="dxa" w:w="2160"/>
            <w:shd w:fill="1F355E"/>
            <w:vAlign w:val="center"/>
          </w:tcPr>
          <w:p>
            <w:r>
              <w:rPr>
                <w:b/>
                <w:color w:val="FFFFFF"/>
              </w:rPr>
              <w:t>Review frequency</w:t>
            </w:r>
          </w:p>
        </w:tc>
      </w:tr>
      <w:tr>
        <w:tc>
          <w:tcPr>
            <w:tcW w:type="dxa" w:w="2232"/>
            <w:vAlign w:val="top"/>
          </w:tcPr>
          <w:p>
            <w:r>
              <w:t>Awareness</w:t>
            </w:r>
          </w:p>
        </w:tc>
        <w:tc>
          <w:tcPr>
            <w:tcW w:type="dxa" w:w="4320"/>
            <w:vAlign w:val="top"/>
          </w:tcPr>
          <w:p>
            <w:r>
              <w:t>Reach, impressions, profile visits</w:t>
            </w:r>
          </w:p>
        </w:tc>
        <w:tc>
          <w:tcPr>
            <w:tcW w:type="dxa" w:w="2160"/>
            <w:vAlign w:val="top"/>
          </w:tcPr>
          <w:p>
            <w:r>
              <w:t>Weekly</w:t>
            </w:r>
          </w:p>
        </w:tc>
      </w:tr>
      <w:tr>
        <w:tc>
          <w:tcPr>
            <w:tcW w:type="dxa" w:w="2232"/>
            <w:vAlign w:val="top"/>
            <w:shd w:fill="F3F6FA"/>
          </w:tcPr>
          <w:p>
            <w:r>
              <w:t>Engagement</w:t>
            </w:r>
          </w:p>
        </w:tc>
        <w:tc>
          <w:tcPr>
            <w:tcW w:type="dxa" w:w="4320"/>
            <w:vAlign w:val="top"/>
            <w:shd w:fill="F3F6FA"/>
          </w:tcPr>
          <w:p>
            <w:r>
              <w:t>Saves, shares, comments, engagement rate</w:t>
            </w:r>
          </w:p>
        </w:tc>
        <w:tc>
          <w:tcPr>
            <w:tcW w:type="dxa" w:w="2160"/>
            <w:vAlign w:val="top"/>
            <w:shd w:fill="F3F6FA"/>
          </w:tcPr>
          <w:p>
            <w:r>
              <w:t>Weekly</w:t>
            </w:r>
          </w:p>
        </w:tc>
      </w:tr>
      <w:tr>
        <w:tc>
          <w:tcPr>
            <w:tcW w:type="dxa" w:w="2232"/>
            <w:vAlign w:val="top"/>
          </w:tcPr>
          <w:p>
            <w:r>
              <w:t>Website discovery</w:t>
            </w:r>
          </w:p>
        </w:tc>
        <w:tc>
          <w:tcPr>
            <w:tcW w:type="dxa" w:w="4320"/>
            <w:vAlign w:val="top"/>
          </w:tcPr>
          <w:p>
            <w:r>
              <w:t>Organic sessions, landing-page visits, referral sessions</w:t>
            </w:r>
          </w:p>
        </w:tc>
        <w:tc>
          <w:tcPr>
            <w:tcW w:type="dxa" w:w="2160"/>
            <w:vAlign w:val="top"/>
          </w:tcPr>
          <w:p>
            <w:r>
              <w:t>Monthly</w:t>
            </w:r>
          </w:p>
        </w:tc>
      </w:tr>
      <w:tr>
        <w:tc>
          <w:tcPr>
            <w:tcW w:type="dxa" w:w="2232"/>
            <w:vAlign w:val="top"/>
            <w:shd w:fill="F3F6FA"/>
          </w:tcPr>
          <w:p>
            <w:r>
              <w:t>Consideration</w:t>
            </w:r>
          </w:p>
        </w:tc>
        <w:tc>
          <w:tcPr>
            <w:tcW w:type="dxa" w:w="4320"/>
            <w:vAlign w:val="top"/>
            <w:shd w:fill="F3F6FA"/>
          </w:tcPr>
          <w:p>
            <w:r>
              <w:t>Product-page views, FAQ visits, outbound clicks</w:t>
            </w:r>
          </w:p>
        </w:tc>
        <w:tc>
          <w:tcPr>
            <w:tcW w:type="dxa" w:w="2160"/>
            <w:vAlign w:val="top"/>
            <w:shd w:fill="F3F6FA"/>
          </w:tcPr>
          <w:p>
            <w:r>
              <w:t>Monthly</w:t>
            </w:r>
          </w:p>
        </w:tc>
      </w:tr>
      <w:tr>
        <w:tc>
          <w:tcPr>
            <w:tcW w:type="dxa" w:w="2232"/>
            <w:vAlign w:val="top"/>
          </w:tcPr>
          <w:p>
            <w:r>
              <w:t>Retention</w:t>
            </w:r>
          </w:p>
        </w:tc>
        <w:tc>
          <w:tcPr>
            <w:tcW w:type="dxa" w:w="4320"/>
            <w:vAlign w:val="top"/>
          </w:tcPr>
          <w:p>
            <w:r>
              <w:t>Returning visitors, email clicks if available</w:t>
            </w:r>
          </w:p>
        </w:tc>
        <w:tc>
          <w:tcPr>
            <w:tcW w:type="dxa" w:w="2160"/>
            <w:vAlign w:val="top"/>
          </w:tcPr>
          <w:p>
            <w:r>
              <w:t>Monthly</w:t>
            </w:r>
          </w:p>
        </w:tc>
      </w:tr>
    </w:tbl>
    <w:p>
      <w:r>
        <w:t>Do not set performance claims before data exists. Establish a baseline after publishing, then compare results over time.</w:t>
      </w:r>
    </w:p>
    <w:p>
      <w:pPr>
        <w:pStyle w:val="Heading1"/>
      </w:pPr>
      <w:r>
        <w:t>9. 30-Day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shd w:fill="1F355E"/>
            <w:vAlign w:val="center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4752"/>
            <w:shd w:fill="1F355E"/>
            <w:vAlign w:val="center"/>
          </w:tcPr>
          <w:p>
            <w:r>
              <w:rPr>
                <w:b/>
                <w:color w:val="FFFFFF"/>
              </w:rPr>
              <w:t>Actions</w:t>
            </w:r>
          </w:p>
        </w:tc>
        <w:tc>
          <w:tcPr>
            <w:tcW w:type="dxa" w:w="2520"/>
            <w:shd w:fill="1F355E"/>
            <w:vAlign w:val="center"/>
          </w:tcPr>
          <w:p>
            <w:r>
              <w:rPr>
                <w:b/>
                <w:color w:val="FFFFFF"/>
              </w:rPr>
              <w:t>Output</w:t>
            </w:r>
          </w:p>
        </w:tc>
      </w:tr>
      <w:tr>
        <w:tc>
          <w:tcPr>
            <w:tcW w:type="dxa" w:w="1440"/>
            <w:vAlign w:val="top"/>
          </w:tcPr>
          <w:p>
            <w:r>
              <w:t>Days 1–7</w:t>
            </w:r>
          </w:p>
        </w:tc>
        <w:tc>
          <w:tcPr>
            <w:tcW w:type="dxa" w:w="4752"/>
            <w:vAlign w:val="top"/>
          </w:tcPr>
          <w:p>
            <w:r>
              <w:t>Confirm audience assumptions, create visual templates, publish introductory and educational content</w:t>
            </w:r>
          </w:p>
        </w:tc>
        <w:tc>
          <w:tcPr>
            <w:tcW w:type="dxa" w:w="2520"/>
            <w:vAlign w:val="top"/>
          </w:tcPr>
          <w:p>
            <w:r>
              <w:t>Brand basics and first content batch</w:t>
            </w:r>
          </w:p>
        </w:tc>
      </w:tr>
      <w:tr>
        <w:tc>
          <w:tcPr>
            <w:tcW w:type="dxa" w:w="1440"/>
            <w:vAlign w:val="top"/>
            <w:shd w:fill="F3F6FA"/>
          </w:tcPr>
          <w:p>
            <w:r>
              <w:t>Days 8–14</w:t>
            </w:r>
          </w:p>
        </w:tc>
        <w:tc>
          <w:tcPr>
            <w:tcW w:type="dxa" w:w="4752"/>
            <w:vAlign w:val="top"/>
            <w:shd w:fill="F3F6FA"/>
          </w:tcPr>
          <w:p>
            <w:r>
              <w:t>Publish product education, FAQs, first blog article, and audience polls</w:t>
            </w:r>
          </w:p>
        </w:tc>
        <w:tc>
          <w:tcPr>
            <w:tcW w:type="dxa" w:w="2520"/>
            <w:vAlign w:val="top"/>
            <w:shd w:fill="F3F6FA"/>
          </w:tcPr>
          <w:p>
            <w:r>
              <w:t>Initial engagement signals and questions</w:t>
            </w:r>
          </w:p>
        </w:tc>
      </w:tr>
      <w:tr>
        <w:tc>
          <w:tcPr>
            <w:tcW w:type="dxa" w:w="1440"/>
            <w:vAlign w:val="top"/>
          </w:tcPr>
          <w:p>
            <w:r>
              <w:t>Days 15–21</w:t>
            </w:r>
          </w:p>
        </w:tc>
        <w:tc>
          <w:tcPr>
            <w:tcW w:type="dxa" w:w="4752"/>
            <w:vAlign w:val="top"/>
          </w:tcPr>
          <w:p>
            <w:r>
              <w:t>Repurpose blog content, publish myth-vs-fact and label-reading content</w:t>
            </w:r>
          </w:p>
        </w:tc>
        <w:tc>
          <w:tcPr>
            <w:tcW w:type="dxa" w:w="2520"/>
            <w:vAlign w:val="top"/>
          </w:tcPr>
          <w:p>
            <w:r>
              <w:t>Consistent cross-channel content</w:t>
            </w:r>
          </w:p>
        </w:tc>
      </w:tr>
      <w:tr>
        <w:tc>
          <w:tcPr>
            <w:tcW w:type="dxa" w:w="1440"/>
            <w:vAlign w:val="top"/>
            <w:shd w:fill="F3F6FA"/>
          </w:tcPr>
          <w:p>
            <w:r>
              <w:t>Days 22–30</w:t>
            </w:r>
          </w:p>
        </w:tc>
        <w:tc>
          <w:tcPr>
            <w:tcW w:type="dxa" w:w="4752"/>
            <w:vAlign w:val="top"/>
            <w:shd w:fill="F3F6FA"/>
          </w:tcPr>
          <w:p>
            <w:r>
              <w:t>Publish comparison guide, collect topic feedback, review analytics</w:t>
            </w:r>
          </w:p>
        </w:tc>
        <w:tc>
          <w:tcPr>
            <w:tcW w:type="dxa" w:w="2520"/>
            <w:vAlign w:val="top"/>
            <w:shd w:fill="F3F6FA"/>
          </w:tcPr>
          <w:p>
            <w:r>
              <w:t>Monthly report and next-month recommendations</w:t>
            </w:r>
          </w:p>
        </w:tc>
      </w:tr>
    </w:tbl>
    <w:p>
      <w:pPr>
        <w:pStyle w:val="Heading1"/>
      </w:pPr>
      <w:r>
        <w:t>10. Risks and Good Practices</w:t>
      </w:r>
    </w:p>
    <w:p>
      <w:pPr>
        <w:pStyle w:val="ListBullet"/>
      </w:pPr>
      <w:r>
        <w:t>Do not claim clinical proof, dermatologist approval, guaranteed results, or specific product benefits without reliable evidence.</w:t>
      </w:r>
    </w:p>
    <w:p>
      <w:pPr>
        <w:pStyle w:val="ListBullet"/>
      </w:pPr>
      <w:r>
        <w:t>Avoid using customer images, testimonials, or reviews without permission.</w:t>
      </w:r>
    </w:p>
    <w:p>
      <w:pPr>
        <w:pStyle w:val="ListBullet"/>
      </w:pPr>
      <w:r>
        <w:t>Use readable text, alt text where supported, and captions for video content.</w:t>
      </w:r>
    </w:p>
    <w:p>
      <w:pPr>
        <w:pStyle w:val="ListBullet"/>
      </w:pPr>
      <w:r>
        <w:t>Disclose sponsored or gifted content if applicable and follow relevant platform rules.</w:t>
      </w:r>
    </w:p>
    <w:p>
      <w:pPr>
        <w:pStyle w:val="ListBullet"/>
      </w:pPr>
      <w:r>
        <w:t>Treat audience and age assumptions as hypotheses; refine them using real insights.</w:t>
      </w:r>
    </w:p>
    <w:p>
      <w:pPr>
        <w:pStyle w:val="Heading1"/>
      </w:pPr>
      <w:r>
        <w:t>11. Conclusion</w:t>
      </w:r>
    </w:p>
    <w:p>
      <w:r>
        <w:t>Novexa’s content strategy prioritises useful education, clear product information, community feedback, and consistent publishing. A monthly review of real performance data should guide future topics and channel choices.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D3748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355E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355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F355E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F355E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