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55E"/>
          <w:sz w:val="50"/>
        </w:rPr>
        <w:t>NOVEXA</w:t>
      </w:r>
    </w:p>
    <w:p>
      <w:pPr>
        <w:jc w:val="center"/>
      </w:pPr>
      <w:r>
        <w:rPr>
          <w:i/>
          <w:color w:val="50647D"/>
          <w:sz w:val="22"/>
        </w:rPr>
        <w:t>Task 4 — Brand Reputation Management</w:t>
      </w:r>
    </w:p>
    <w:p>
      <w:pPr>
        <w:jc w:val="center"/>
      </w:pPr>
      <w:r>
        <w:rPr>
          <w:b/>
        </w:rPr>
        <w:t>CODTECH Digital Marketing Internship | Sample Portfolio Project</w:t>
      </w:r>
    </w:p>
    <w:p>
      <w:r>
        <w:t>Portfolio note: Novexa is a fictional sample brand. Strategies, keywords, sample captions, and review examples are illustrative, not evidence of a live campaign.</w:t>
      </w:r>
    </w:p>
    <w:p>
      <w:pPr>
        <w:pStyle w:val="Heading1"/>
      </w:pPr>
      <w:r>
        <w:t>1. Purpose</w:t>
      </w:r>
    </w:p>
    <w:p>
      <w:r>
        <w:t>This strategy describes how a sample brand can monitor online mentions, respond to reviews, resolve customer concerns, encourage authentic feedback, and learn from recurring issues. Novexa is fictional; the examples below are templates and must not be presented as actual customer reviews.</w:t>
      </w:r>
    </w:p>
    <w:p>
      <w:pPr>
        <w:pStyle w:val="Heading1"/>
      </w:pPr>
      <w:r>
        <w:t>2. Reputation Goals</w:t>
      </w:r>
    </w:p>
    <w:p>
      <w:pPr>
        <w:pStyle w:val="ListBullet"/>
      </w:pPr>
      <w:r>
        <w:t>Respond consistently, respectfully, and promptly to genuine questions and complaints.</w:t>
      </w:r>
    </w:p>
    <w:p>
      <w:pPr>
        <w:pStyle w:val="ListBullet"/>
      </w:pPr>
      <w:r>
        <w:t>Identify repeated product, delivery, service, or information issues and route them to the right owner.</w:t>
      </w:r>
    </w:p>
    <w:p>
      <w:pPr>
        <w:pStyle w:val="ListBullet"/>
      </w:pPr>
      <w:r>
        <w:t>Encourage honest feedback without pressuring customers or offering rewards for positive reviews.</w:t>
      </w:r>
    </w:p>
    <w:p>
      <w:pPr>
        <w:pStyle w:val="ListBullet"/>
      </w:pPr>
      <w:r>
        <w:t>Protect customer privacy and avoid arguing publicly.</w:t>
      </w:r>
    </w:p>
    <w:p>
      <w:pPr>
        <w:pStyle w:val="ListBullet"/>
      </w:pPr>
      <w:r>
        <w:t>Use recurring feedback to improve content, product information, and customer support.</w:t>
      </w:r>
    </w:p>
    <w:p>
      <w:pPr>
        <w:pStyle w:val="Heading1"/>
      </w:pPr>
      <w:r>
        <w:t>3. Channels to Monitor</w:t>
      </w:r>
    </w:p>
    <w:tbl>
      <w:tblPr>
        <w:tblStyle w:val="TableGrid"/>
        <w:tblW w:type="auto" w:w="0"/>
        <w:jc w:val="center"/>
        <w:tblLook w:firstColumn="1" w:firstRow="1" w:lastColumn="0" w:lastRow="0" w:noHBand="0" w:noVBand="1" w:val="04A0"/>
      </w:tblPr>
      <w:tblGrid>
        <w:gridCol w:w="3312"/>
        <w:gridCol w:w="3312"/>
        <w:gridCol w:w="3312"/>
      </w:tblGrid>
      <w:tr>
        <w:tc>
          <w:tcPr>
            <w:tcW w:type="dxa" w:w="2520"/>
            <w:shd w:fill="1F355E"/>
            <w:vAlign w:val="center"/>
          </w:tcPr>
          <w:p>
            <w:r>
              <w:rPr>
                <w:b/>
                <w:color w:val="FFFFFF"/>
              </w:rPr>
              <w:t>Channel</w:t>
            </w:r>
          </w:p>
        </w:tc>
        <w:tc>
          <w:tcPr>
            <w:tcW w:type="dxa" w:w="4032"/>
            <w:shd w:fill="1F355E"/>
            <w:vAlign w:val="center"/>
          </w:tcPr>
          <w:p>
            <w:r>
              <w:rPr>
                <w:b/>
                <w:color w:val="FFFFFF"/>
              </w:rPr>
              <w:t>What to monitor</w:t>
            </w:r>
          </w:p>
        </w:tc>
        <w:tc>
          <w:tcPr>
            <w:tcW w:type="dxa" w:w="2088"/>
            <w:shd w:fill="1F355E"/>
            <w:vAlign w:val="center"/>
          </w:tcPr>
          <w:p>
            <w:r>
              <w:rPr>
                <w:b/>
                <w:color w:val="FFFFFF"/>
              </w:rPr>
              <w:t>Suggested cadence</w:t>
            </w:r>
          </w:p>
        </w:tc>
      </w:tr>
      <w:tr>
        <w:tc>
          <w:tcPr>
            <w:tcW w:type="dxa" w:w="2520"/>
            <w:vAlign w:val="top"/>
          </w:tcPr>
          <w:p>
            <w:r>
              <w:t>Google Business Profile, if applicable</w:t>
            </w:r>
          </w:p>
        </w:tc>
        <w:tc>
          <w:tcPr>
            <w:tcW w:type="dxa" w:w="4032"/>
            <w:vAlign w:val="top"/>
          </w:tcPr>
          <w:p>
            <w:r>
              <w:t>Ratings, reviews, owner replies, incorrect listing details</w:t>
            </w:r>
          </w:p>
        </w:tc>
        <w:tc>
          <w:tcPr>
            <w:tcW w:type="dxa" w:w="2088"/>
            <w:vAlign w:val="top"/>
          </w:tcPr>
          <w:p>
            <w:r>
              <w:t>Daily on working days</w:t>
            </w:r>
          </w:p>
        </w:tc>
      </w:tr>
      <w:tr>
        <w:tc>
          <w:tcPr>
            <w:tcW w:type="dxa" w:w="2520"/>
            <w:vAlign w:val="top"/>
            <w:shd w:fill="F3F6FA"/>
          </w:tcPr>
          <w:p>
            <w:r>
              <w:t>Instagram / Facebook</w:t>
            </w:r>
          </w:p>
        </w:tc>
        <w:tc>
          <w:tcPr>
            <w:tcW w:type="dxa" w:w="4032"/>
            <w:vAlign w:val="top"/>
            <w:shd w:fill="F3F6FA"/>
          </w:tcPr>
          <w:p>
            <w:r>
              <w:t>Comments, DMs, tags, story mentions, complaints</w:t>
            </w:r>
          </w:p>
        </w:tc>
        <w:tc>
          <w:tcPr>
            <w:tcW w:type="dxa" w:w="2088"/>
            <w:vAlign w:val="top"/>
            <w:shd w:fill="F3F6FA"/>
          </w:tcPr>
          <w:p>
            <w:r>
              <w:t>Daily</w:t>
            </w:r>
          </w:p>
        </w:tc>
      </w:tr>
      <w:tr>
        <w:tc>
          <w:tcPr>
            <w:tcW w:type="dxa" w:w="2520"/>
            <w:vAlign w:val="top"/>
          </w:tcPr>
          <w:p>
            <w:r>
              <w:t>E-commerce / marketplace pages, if used</w:t>
            </w:r>
          </w:p>
        </w:tc>
        <w:tc>
          <w:tcPr>
            <w:tcW w:type="dxa" w:w="4032"/>
            <w:vAlign w:val="top"/>
          </w:tcPr>
          <w:p>
            <w:r>
              <w:t>Product ratings, questions, delivery-related feedback</w:t>
            </w:r>
          </w:p>
        </w:tc>
        <w:tc>
          <w:tcPr>
            <w:tcW w:type="dxa" w:w="2088"/>
            <w:vAlign w:val="top"/>
          </w:tcPr>
          <w:p>
            <w:r>
              <w:t>Daily or platform alerts</w:t>
            </w:r>
          </w:p>
        </w:tc>
      </w:tr>
      <w:tr>
        <w:tc>
          <w:tcPr>
            <w:tcW w:type="dxa" w:w="2520"/>
            <w:vAlign w:val="top"/>
            <w:shd w:fill="F3F6FA"/>
          </w:tcPr>
          <w:p>
            <w:r>
              <w:t>Search engine results</w:t>
            </w:r>
          </w:p>
        </w:tc>
        <w:tc>
          <w:tcPr>
            <w:tcW w:type="dxa" w:w="4032"/>
            <w:vAlign w:val="top"/>
            <w:shd w:fill="F3F6FA"/>
          </w:tcPr>
          <w:p>
            <w:r>
              <w:t>Brand-name results, outdated information, public articles</w:t>
            </w:r>
          </w:p>
        </w:tc>
        <w:tc>
          <w:tcPr>
            <w:tcW w:type="dxa" w:w="2088"/>
            <w:vAlign w:val="top"/>
            <w:shd w:fill="F3F6FA"/>
          </w:tcPr>
          <w:p>
            <w:r>
              <w:t>Monthly</w:t>
            </w:r>
          </w:p>
        </w:tc>
      </w:tr>
      <w:tr>
        <w:tc>
          <w:tcPr>
            <w:tcW w:type="dxa" w:w="2520"/>
            <w:vAlign w:val="top"/>
          </w:tcPr>
          <w:p>
            <w:r>
              <w:t>Email / support inbox</w:t>
            </w:r>
          </w:p>
        </w:tc>
        <w:tc>
          <w:tcPr>
            <w:tcW w:type="dxa" w:w="4032"/>
            <w:vAlign w:val="top"/>
          </w:tcPr>
          <w:p>
            <w:r>
              <w:t>Recurring concerns, unresolved tickets, tone and response time</w:t>
            </w:r>
          </w:p>
        </w:tc>
        <w:tc>
          <w:tcPr>
            <w:tcW w:type="dxa" w:w="2088"/>
            <w:vAlign w:val="top"/>
          </w:tcPr>
          <w:p>
            <w:r>
              <w:t>Daily</w:t>
            </w:r>
          </w:p>
        </w:tc>
      </w:tr>
      <w:tr>
        <w:tc>
          <w:tcPr>
            <w:tcW w:type="dxa" w:w="2520"/>
            <w:vAlign w:val="top"/>
            <w:shd w:fill="F3F6FA"/>
          </w:tcPr>
          <w:p>
            <w:r>
              <w:t>Relevant forums / creator content</w:t>
            </w:r>
          </w:p>
        </w:tc>
        <w:tc>
          <w:tcPr>
            <w:tcW w:type="dxa" w:w="4032"/>
            <w:vAlign w:val="top"/>
            <w:shd w:fill="F3F6FA"/>
          </w:tcPr>
          <w:p>
            <w:r>
              <w:t>Public mentions and recurring themes</w:t>
            </w:r>
          </w:p>
        </w:tc>
        <w:tc>
          <w:tcPr>
            <w:tcW w:type="dxa" w:w="2088"/>
            <w:vAlign w:val="top"/>
            <w:shd w:fill="F3F6FA"/>
          </w:tcPr>
          <w:p>
            <w:r>
              <w:t>Weekly</w:t>
            </w:r>
          </w:p>
        </w:tc>
      </w:tr>
    </w:tbl>
    <w:p>
      <w:pPr>
        <w:pStyle w:val="Heading1"/>
      </w:pPr>
      <w:r>
        <w:t>4. Tools to Consider</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1F355E"/>
            <w:vAlign w:val="center"/>
          </w:tcPr>
          <w:p>
            <w:r>
              <w:rPr>
                <w:b/>
                <w:color w:val="FFFFFF"/>
              </w:rPr>
              <w:t>Tool</w:t>
            </w:r>
          </w:p>
        </w:tc>
        <w:tc>
          <w:tcPr>
            <w:tcW w:type="dxa" w:w="3816"/>
            <w:shd w:fill="1F355E"/>
            <w:vAlign w:val="center"/>
          </w:tcPr>
          <w:p>
            <w:r>
              <w:rPr>
                <w:b/>
                <w:color w:val="FFFFFF"/>
              </w:rPr>
              <w:t>Use</w:t>
            </w:r>
          </w:p>
        </w:tc>
        <w:tc>
          <w:tcPr>
            <w:tcW w:type="dxa" w:w="2232"/>
            <w:shd w:fill="1F355E"/>
            <w:vAlign w:val="center"/>
          </w:tcPr>
          <w:p>
            <w:r>
              <w:rPr>
                <w:b/>
                <w:color w:val="FFFFFF"/>
              </w:rPr>
              <w:t>Note</w:t>
            </w:r>
          </w:p>
        </w:tc>
      </w:tr>
      <w:tr>
        <w:tc>
          <w:tcPr>
            <w:tcW w:type="dxa" w:w="2592"/>
            <w:vAlign w:val="top"/>
          </w:tcPr>
          <w:p>
            <w:r>
              <w:t>Google Alerts</w:t>
            </w:r>
          </w:p>
        </w:tc>
        <w:tc>
          <w:tcPr>
            <w:tcW w:type="dxa" w:w="3816"/>
            <w:vAlign w:val="top"/>
          </w:tcPr>
          <w:p>
            <w:r>
              <w:t>Email alerts for selected brand or topic mentions</w:t>
            </w:r>
          </w:p>
        </w:tc>
        <w:tc>
          <w:tcPr>
            <w:tcW w:type="dxa" w:w="2232"/>
            <w:vAlign w:val="top"/>
          </w:tcPr>
          <w:p>
            <w:r>
              <w:t>Useful starter option; coverage is not exhaustive</w:t>
            </w:r>
          </w:p>
        </w:tc>
      </w:tr>
      <w:tr>
        <w:tc>
          <w:tcPr>
            <w:tcW w:type="dxa" w:w="2592"/>
            <w:vAlign w:val="top"/>
            <w:shd w:fill="F3F6FA"/>
          </w:tcPr>
          <w:p>
            <w:r>
              <w:t>Native platform notifications</w:t>
            </w:r>
          </w:p>
        </w:tc>
        <w:tc>
          <w:tcPr>
            <w:tcW w:type="dxa" w:w="3816"/>
            <w:vAlign w:val="top"/>
            <w:shd w:fill="F3F6FA"/>
          </w:tcPr>
          <w:p>
            <w:r>
              <w:t>Monitor comments, messages, tags, and reviews</w:t>
            </w:r>
          </w:p>
        </w:tc>
        <w:tc>
          <w:tcPr>
            <w:tcW w:type="dxa" w:w="2232"/>
            <w:vAlign w:val="top"/>
            <w:shd w:fill="F3F6FA"/>
          </w:tcPr>
          <w:p>
            <w:r>
              <w:t>Enable alerts and assign an owner</w:t>
            </w:r>
          </w:p>
        </w:tc>
      </w:tr>
      <w:tr>
        <w:tc>
          <w:tcPr>
            <w:tcW w:type="dxa" w:w="2592"/>
            <w:vAlign w:val="top"/>
          </w:tcPr>
          <w:p>
            <w:r>
              <w:t>Meta Business Suite</w:t>
            </w:r>
          </w:p>
        </w:tc>
        <w:tc>
          <w:tcPr>
            <w:tcW w:type="dxa" w:w="3816"/>
            <w:vAlign w:val="top"/>
          </w:tcPr>
          <w:p>
            <w:r>
              <w:t>Manage supported Facebook and Instagram interactions</w:t>
            </w:r>
          </w:p>
        </w:tc>
        <w:tc>
          <w:tcPr>
            <w:tcW w:type="dxa" w:w="2232"/>
            <w:vAlign w:val="top"/>
          </w:tcPr>
          <w:p>
            <w:r>
              <w:t>Features depend on account setup</w:t>
            </w:r>
          </w:p>
        </w:tc>
      </w:tr>
      <w:tr>
        <w:tc>
          <w:tcPr>
            <w:tcW w:type="dxa" w:w="2592"/>
            <w:vAlign w:val="top"/>
            <w:shd w:fill="F3F6FA"/>
          </w:tcPr>
          <w:p>
            <w:r>
              <w:t>Google Business Profile</w:t>
            </w:r>
          </w:p>
        </w:tc>
        <w:tc>
          <w:tcPr>
            <w:tcW w:type="dxa" w:w="3816"/>
            <w:vAlign w:val="top"/>
            <w:shd w:fill="F3F6FA"/>
          </w:tcPr>
          <w:p>
            <w:r>
              <w:t>Manage listing information and eligible reviews</w:t>
            </w:r>
          </w:p>
        </w:tc>
        <w:tc>
          <w:tcPr>
            <w:tcW w:type="dxa" w:w="2232"/>
            <w:vAlign w:val="top"/>
            <w:shd w:fill="F3F6FA"/>
          </w:tcPr>
          <w:p>
            <w:r>
              <w:t>Use only if the brand has an eligible real-world business profile</w:t>
            </w:r>
          </w:p>
        </w:tc>
      </w:tr>
      <w:tr>
        <w:tc>
          <w:tcPr>
            <w:tcW w:type="dxa" w:w="2592"/>
            <w:vAlign w:val="top"/>
          </w:tcPr>
          <w:p>
            <w:r>
              <w:t>Spreadsheet tracker</w:t>
            </w:r>
          </w:p>
        </w:tc>
        <w:tc>
          <w:tcPr>
            <w:tcW w:type="dxa" w:w="3816"/>
            <w:vAlign w:val="top"/>
          </w:tcPr>
          <w:p>
            <w:r>
              <w:t>Log mentions, sentiment, owner, status, and resolution</w:t>
            </w:r>
          </w:p>
        </w:tc>
        <w:tc>
          <w:tcPr>
            <w:tcW w:type="dxa" w:w="2232"/>
            <w:vAlign w:val="top"/>
          </w:tcPr>
          <w:p>
            <w:r>
              <w:t>Suitable for a small sample project</w:t>
            </w:r>
          </w:p>
        </w:tc>
      </w:tr>
      <w:tr>
        <w:tc>
          <w:tcPr>
            <w:tcW w:type="dxa" w:w="2592"/>
            <w:vAlign w:val="top"/>
            <w:shd w:fill="F3F6FA"/>
          </w:tcPr>
          <w:p>
            <w:r>
              <w:t>Social listening tools</w:t>
            </w:r>
          </w:p>
        </w:tc>
        <w:tc>
          <w:tcPr>
            <w:tcW w:type="dxa" w:w="3816"/>
            <w:vAlign w:val="top"/>
            <w:shd w:fill="F3F6FA"/>
          </w:tcPr>
          <w:p>
            <w:r>
              <w:t>Broader mention tracking and reporting</w:t>
            </w:r>
          </w:p>
        </w:tc>
        <w:tc>
          <w:tcPr>
            <w:tcW w:type="dxa" w:w="2232"/>
            <w:vAlign w:val="top"/>
            <w:shd w:fill="F3F6FA"/>
          </w:tcPr>
          <w:p>
            <w:r>
              <w:t>Evaluate cost, coverage, privacy, and suitability</w:t>
            </w:r>
          </w:p>
        </w:tc>
      </w:tr>
    </w:tbl>
    <w:p>
      <w:pPr>
        <w:pStyle w:val="Heading1"/>
      </w:pPr>
      <w:r>
        <w:t>5. Review Response Workflow</w:t>
      </w:r>
    </w:p>
    <w:p>
      <w:pPr>
        <w:pStyle w:val="ListNumber"/>
      </w:pPr>
      <w:r>
        <w:t>Capture: record the platform, date, issue type, urgency, and a link to the public post where appropriate.</w:t>
      </w:r>
    </w:p>
    <w:p>
      <w:pPr>
        <w:pStyle w:val="ListNumber"/>
      </w:pPr>
      <w:r>
        <w:t>Classify: mark as positive, neutral, negative, question, misinformation, safety concern, or spam.</w:t>
      </w:r>
    </w:p>
    <w:p>
      <w:pPr>
        <w:pStyle w:val="ListNumber"/>
      </w:pPr>
      <w:r>
        <w:t>Prioritise: escalate safety, privacy, legal, or potentially harmful product concerns immediately to an authorised person.</w:t>
      </w:r>
    </w:p>
    <w:p>
      <w:pPr>
        <w:pStyle w:val="ListNumber"/>
      </w:pPr>
      <w:r>
        <w:t>Respond: acknowledge the person’s concern, use calm language, and avoid exposing personal information.</w:t>
      </w:r>
    </w:p>
    <w:p>
      <w:pPr>
        <w:pStyle w:val="ListNumber"/>
      </w:pPr>
      <w:r>
        <w:t>Resolve: move order-specific or personal details to a secure private support channel.</w:t>
      </w:r>
    </w:p>
    <w:p>
      <w:pPr>
        <w:pStyle w:val="ListNumber"/>
      </w:pPr>
      <w:r>
        <w:t>Close the loop: record the action taken, follow up when appropriate, and identify recurring themes.</w:t>
      </w:r>
    </w:p>
    <w:p>
      <w:pPr>
        <w:pStyle w:val="Heading1"/>
      </w:pPr>
      <w:r>
        <w:t>6. Sample Response Templates</w:t>
      </w:r>
    </w:p>
    <w:p>
      <w:pPr>
        <w:pStyle w:val="Heading2"/>
      </w:pPr>
      <w:r>
        <w:t>A. Positive review</w:t>
      </w:r>
    </w:p>
    <w:p>
      <w:r>
        <w:t>“Thank you for taking the time to share your feedback. We’re glad you reached out to Novexa. We appreciate you being part of our community.”</w:t>
      </w:r>
    </w:p>
    <w:p>
      <w:pPr>
        <w:pStyle w:val="Heading2"/>
      </w:pPr>
      <w:r>
        <w:t>B. Negative review — general experience</w:t>
      </w:r>
    </w:p>
    <w:p>
      <w:r>
        <w:t>“Thank you for letting us know. We’re sorry your experience did not meet expectations. We’d like to understand what happened and see how we can help. Please contact our support team through the official channel with your order details so we can review this privately.”</w:t>
      </w:r>
    </w:p>
    <w:p>
      <w:pPr>
        <w:pStyle w:val="Heading2"/>
      </w:pPr>
      <w:r>
        <w:t>C. Delivery or order concern</w:t>
      </w:r>
    </w:p>
    <w:p>
      <w:r>
        <w:t>“We understand how frustrating a delivery issue can be. Please send your order reference through our official support channel, not in a public comment, so the team can check the status securely.”</w:t>
      </w:r>
    </w:p>
    <w:p>
      <w:pPr>
        <w:pStyle w:val="Heading2"/>
      </w:pPr>
      <w:r>
        <w:t>D. Product irritation or safety concern</w:t>
      </w:r>
    </w:p>
    <w:p>
      <w:r>
        <w:t>“We’re sorry to hear about your experience. Please stop using the product if you are experiencing irritation and seek advice from a qualified healthcare professional if needed. Please contact our support team with the product details so we can document and escalate the concern. Please do not share personal medical information publicly.”</w:t>
      </w:r>
    </w:p>
    <w:p>
      <w:pPr>
        <w:pStyle w:val="Heading2"/>
      </w:pPr>
      <w:r>
        <w:t>E. Incorrect public information</w:t>
      </w:r>
    </w:p>
    <w:p>
      <w:r>
        <w:t>“Thanks for flagging this. We’re checking the information and will update it if it is incorrect. We appreciate you helping us keep details clear.”</w:t>
      </w:r>
    </w:p>
    <w:p>
      <w:r>
        <w:t>Templates must be adapted to the facts. Do not promise refunds, replacements, or outcomes unless authorised and consistent with the actual policy.</w:t>
      </w:r>
    </w:p>
    <w:p>
      <w:pPr>
        <w:pStyle w:val="Heading1"/>
      </w:pPr>
      <w:r>
        <w:t>7. Negative Review Handling Principles</w:t>
      </w:r>
    </w:p>
    <w:p>
      <w:pPr>
        <w:pStyle w:val="ListBullet"/>
      </w:pPr>
      <w:r>
        <w:t>Do not delete or hide genuine criticism simply because it is negative; moderate only under platform rules and documented policy.</w:t>
      </w:r>
    </w:p>
    <w:p>
      <w:pPr>
        <w:pStyle w:val="ListBullet"/>
      </w:pPr>
      <w:r>
        <w:t>Do not argue, blame the customer, use sarcasm, or disclose order or personal details.</w:t>
      </w:r>
    </w:p>
    <w:p>
      <w:pPr>
        <w:pStyle w:val="ListBullet"/>
      </w:pPr>
      <w:r>
        <w:t>Acknowledge the concern without admitting unverified facts.</w:t>
      </w:r>
    </w:p>
    <w:p>
      <w:pPr>
        <w:pStyle w:val="ListBullet"/>
      </w:pPr>
      <w:r>
        <w:t>Escalate safety-related or potentially unlawful claims to the appropriate responsible team.</w:t>
      </w:r>
    </w:p>
    <w:p>
      <w:pPr>
        <w:pStyle w:val="ListBullet"/>
      </w:pPr>
      <w:r>
        <w:t>Never fabricate reviews, buy reviews, or ask only satisfied customers to post public feedback.</w:t>
      </w:r>
    </w:p>
    <w:p>
      <w:pPr>
        <w:pStyle w:val="ListBullet"/>
      </w:pPr>
      <w:r>
        <w:t>Do not offer benefits in exchange for a positive review; request honest feedback neutrally.</w:t>
      </w:r>
    </w:p>
    <w:p>
      <w:pPr>
        <w:pStyle w:val="Heading1"/>
      </w:pPr>
      <w:r>
        <w:t>8. Building Positive Sentiment Ethically</w:t>
      </w:r>
    </w:p>
    <w:p>
      <w:pPr>
        <w:pStyle w:val="ListBullet"/>
      </w:pPr>
      <w:r>
        <w:t>Provide accurate product pages, usage directions, FAQs, and clear shipping / returns information.</w:t>
      </w:r>
    </w:p>
    <w:p>
      <w:pPr>
        <w:pStyle w:val="ListBullet"/>
      </w:pPr>
      <w:r>
        <w:t>Invite all customers to share honest feedback after a reasonable period.</w:t>
      </w:r>
    </w:p>
    <w:p>
      <w:pPr>
        <w:pStyle w:val="ListBullet"/>
      </w:pPr>
      <w:r>
        <w:t>Share community content only with permission and appropriate credit.</w:t>
      </w:r>
    </w:p>
    <w:p>
      <w:pPr>
        <w:pStyle w:val="ListBullet"/>
      </w:pPr>
      <w:r>
        <w:t>Publish helpful educational content that answers recurring audience questions.</w:t>
      </w:r>
    </w:p>
    <w:p>
      <w:pPr>
        <w:pStyle w:val="ListBullet"/>
      </w:pPr>
      <w:r>
        <w:t>Thank customers for constructive feedback and communicate meaningful improvements when appropriate.</w:t>
      </w:r>
    </w:p>
    <w:p>
      <w:pPr>
        <w:pStyle w:val="ListBullet"/>
      </w:pPr>
      <w:r>
        <w:t>Keep service promises realistic and consistent across channels.</w:t>
      </w:r>
    </w:p>
    <w:p>
      <w:pPr>
        <w:pStyle w:val="Heading1"/>
      </w:pPr>
      <w:r>
        <w:t>9. Monitoring Tracker Template</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080"/>
            <w:shd w:fill="1F355E"/>
            <w:vAlign w:val="center"/>
          </w:tcPr>
          <w:p>
            <w:r>
              <w:rPr>
                <w:b/>
                <w:color w:val="FFFFFF"/>
              </w:rPr>
              <w:t>Date</w:t>
            </w:r>
          </w:p>
        </w:tc>
        <w:tc>
          <w:tcPr>
            <w:tcW w:type="dxa" w:w="1800"/>
            <w:shd w:fill="1F355E"/>
            <w:vAlign w:val="center"/>
          </w:tcPr>
          <w:p>
            <w:r>
              <w:rPr>
                <w:b/>
                <w:color w:val="FFFFFF"/>
              </w:rPr>
              <w:t>Platform / URL</w:t>
            </w:r>
          </w:p>
        </w:tc>
        <w:tc>
          <w:tcPr>
            <w:tcW w:type="dxa" w:w="1440"/>
            <w:shd w:fill="1F355E"/>
            <w:vAlign w:val="center"/>
          </w:tcPr>
          <w:p>
            <w:r>
              <w:rPr>
                <w:b/>
                <w:color w:val="FFFFFF"/>
              </w:rPr>
              <w:t>Type</w:t>
            </w:r>
          </w:p>
        </w:tc>
        <w:tc>
          <w:tcPr>
            <w:tcW w:type="dxa" w:w="1152"/>
            <w:shd w:fill="1F355E"/>
            <w:vAlign w:val="center"/>
          </w:tcPr>
          <w:p>
            <w:r>
              <w:rPr>
                <w:b/>
                <w:color w:val="FFFFFF"/>
              </w:rPr>
              <w:t>Sentiment</w:t>
            </w:r>
          </w:p>
        </w:tc>
        <w:tc>
          <w:tcPr>
            <w:tcW w:type="dxa" w:w="936"/>
            <w:shd w:fill="1F355E"/>
            <w:vAlign w:val="center"/>
          </w:tcPr>
          <w:p>
            <w:r>
              <w:rPr>
                <w:b/>
                <w:color w:val="FFFFFF"/>
              </w:rPr>
              <w:t>Priority</w:t>
            </w:r>
          </w:p>
        </w:tc>
        <w:tc>
          <w:tcPr>
            <w:tcW w:type="dxa" w:w="1440"/>
            <w:shd w:fill="1F355E"/>
            <w:vAlign w:val="center"/>
          </w:tcPr>
          <w:p>
            <w:r>
              <w:rPr>
                <w:b/>
                <w:color w:val="FFFFFF"/>
              </w:rPr>
              <w:t>Owner</w:t>
            </w:r>
          </w:p>
        </w:tc>
        <w:tc>
          <w:tcPr>
            <w:tcW w:type="dxa" w:w="2304"/>
            <w:shd w:fill="1F355E"/>
            <w:vAlign w:val="center"/>
          </w:tcPr>
          <w:p>
            <w:r>
              <w:rPr>
                <w:b/>
                <w:color w:val="FFFFFF"/>
              </w:rPr>
              <w:t>Action / response</w:t>
            </w:r>
          </w:p>
        </w:tc>
        <w:tc>
          <w:tcPr>
            <w:tcW w:type="dxa" w:w="1152"/>
            <w:shd w:fill="1F355E"/>
            <w:vAlign w:val="center"/>
          </w:tcPr>
          <w:p>
            <w:r>
              <w:rPr>
                <w:b/>
                <w:color w:val="FFFFFF"/>
              </w:rPr>
              <w:t>Status</w:t>
            </w:r>
          </w:p>
        </w:tc>
      </w:tr>
      <w:tr>
        <w:tc>
          <w:tcPr>
            <w:tcW w:type="dxa" w:w="1080"/>
            <w:vAlign w:val="top"/>
          </w:tcPr>
          <w:p>
            <w:r>
              <w:t>Example only</w:t>
            </w:r>
          </w:p>
        </w:tc>
        <w:tc>
          <w:tcPr>
            <w:tcW w:type="dxa" w:w="1800"/>
            <w:vAlign w:val="top"/>
          </w:tcPr>
          <w:p>
            <w:r>
              <w:t>Instagram comment link</w:t>
            </w:r>
          </w:p>
        </w:tc>
        <w:tc>
          <w:tcPr>
            <w:tcW w:type="dxa" w:w="1440"/>
            <w:vAlign w:val="top"/>
          </w:tcPr>
          <w:p>
            <w:r>
              <w:t>Product question</w:t>
            </w:r>
          </w:p>
        </w:tc>
        <w:tc>
          <w:tcPr>
            <w:tcW w:type="dxa" w:w="1152"/>
            <w:vAlign w:val="top"/>
          </w:tcPr>
          <w:p>
            <w:r>
              <w:t>Neutral</w:t>
            </w:r>
          </w:p>
        </w:tc>
        <w:tc>
          <w:tcPr>
            <w:tcW w:type="dxa" w:w="936"/>
            <w:vAlign w:val="top"/>
          </w:tcPr>
          <w:p>
            <w:r>
              <w:t>Normal</w:t>
            </w:r>
          </w:p>
        </w:tc>
        <w:tc>
          <w:tcPr>
            <w:tcW w:type="dxa" w:w="1440"/>
            <w:vAlign w:val="top"/>
          </w:tcPr>
          <w:p>
            <w:r>
              <w:t>Community manager</w:t>
            </w:r>
          </w:p>
        </w:tc>
        <w:tc>
          <w:tcPr>
            <w:tcW w:type="dxa" w:w="2304"/>
            <w:vAlign w:val="top"/>
          </w:tcPr>
          <w:p>
            <w:r>
              <w:t>Answered with approved FAQ</w:t>
            </w:r>
          </w:p>
        </w:tc>
        <w:tc>
          <w:tcPr>
            <w:tcW w:type="dxa" w:w="1152"/>
            <w:vAlign w:val="top"/>
          </w:tcPr>
          <w:p>
            <w:r>
              <w:t>Closed</w:t>
            </w:r>
          </w:p>
        </w:tc>
      </w:tr>
      <w:tr>
        <w:tc>
          <w:tcPr>
            <w:tcW w:type="dxa" w:w="1080"/>
            <w:vAlign w:val="top"/>
            <w:shd w:fill="F3F6FA"/>
          </w:tcPr>
          <w:p>
            <w:r>
              <w:t>Example only</w:t>
            </w:r>
          </w:p>
        </w:tc>
        <w:tc>
          <w:tcPr>
            <w:tcW w:type="dxa" w:w="1800"/>
            <w:vAlign w:val="top"/>
            <w:shd w:fill="F3F6FA"/>
          </w:tcPr>
          <w:p>
            <w:r>
              <w:t>Support inbox reference</w:t>
            </w:r>
          </w:p>
        </w:tc>
        <w:tc>
          <w:tcPr>
            <w:tcW w:type="dxa" w:w="1440"/>
            <w:vAlign w:val="top"/>
            <w:shd w:fill="F3F6FA"/>
          </w:tcPr>
          <w:p>
            <w:r>
              <w:t>Delivery concern</w:t>
            </w:r>
          </w:p>
        </w:tc>
        <w:tc>
          <w:tcPr>
            <w:tcW w:type="dxa" w:w="1152"/>
            <w:vAlign w:val="top"/>
            <w:shd w:fill="F3F6FA"/>
          </w:tcPr>
          <w:p>
            <w:r>
              <w:t>Negative</w:t>
            </w:r>
          </w:p>
        </w:tc>
        <w:tc>
          <w:tcPr>
            <w:tcW w:type="dxa" w:w="936"/>
            <w:vAlign w:val="top"/>
            <w:shd w:fill="F3F6FA"/>
          </w:tcPr>
          <w:p>
            <w:r>
              <w:t>High</w:t>
            </w:r>
          </w:p>
        </w:tc>
        <w:tc>
          <w:tcPr>
            <w:tcW w:type="dxa" w:w="1440"/>
            <w:vAlign w:val="top"/>
            <w:shd w:fill="F3F6FA"/>
          </w:tcPr>
          <w:p>
            <w:r>
              <w:t>Support team</w:t>
            </w:r>
          </w:p>
        </w:tc>
        <w:tc>
          <w:tcPr>
            <w:tcW w:type="dxa" w:w="2304"/>
            <w:vAlign w:val="top"/>
            <w:shd w:fill="F3F6FA"/>
          </w:tcPr>
          <w:p>
            <w:r>
              <w:t>Moved to private channel; checked order</w:t>
            </w:r>
          </w:p>
        </w:tc>
        <w:tc>
          <w:tcPr>
            <w:tcW w:type="dxa" w:w="1152"/>
            <w:vAlign w:val="top"/>
            <w:shd w:fill="F3F6FA"/>
          </w:tcPr>
          <w:p>
            <w:r>
              <w:t>In progress</w:t>
            </w:r>
          </w:p>
        </w:tc>
      </w:tr>
    </w:tbl>
    <w:p>
      <w:r>
        <w:t>These rows are fictional examples for demonstrating the tracker format; replace them with actual observations if the project is applied to a real brand.</w:t>
      </w:r>
    </w:p>
    <w:p>
      <w:pPr>
        <w:pStyle w:val="Heading1"/>
      </w:pPr>
      <w:r>
        <w:t>10. KPIs and Reporting</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1F355E"/>
            <w:vAlign w:val="center"/>
          </w:tcPr>
          <w:p>
            <w:r>
              <w:rPr>
                <w:b/>
                <w:color w:val="FFFFFF"/>
              </w:rPr>
              <w:t>KPI</w:t>
            </w:r>
          </w:p>
        </w:tc>
        <w:tc>
          <w:tcPr>
            <w:tcW w:type="dxa" w:w="4320"/>
            <w:shd w:fill="1F355E"/>
            <w:vAlign w:val="center"/>
          </w:tcPr>
          <w:p>
            <w:r>
              <w:rPr>
                <w:b/>
                <w:color w:val="FFFFFF"/>
              </w:rPr>
              <w:t>How to track</w:t>
            </w:r>
          </w:p>
        </w:tc>
        <w:tc>
          <w:tcPr>
            <w:tcW w:type="dxa" w:w="1728"/>
            <w:shd w:fill="1F355E"/>
            <w:vAlign w:val="center"/>
          </w:tcPr>
          <w:p>
            <w:r>
              <w:rPr>
                <w:b/>
                <w:color w:val="FFFFFF"/>
              </w:rPr>
              <w:t>Review</w:t>
            </w:r>
          </w:p>
        </w:tc>
      </w:tr>
      <w:tr>
        <w:tc>
          <w:tcPr>
            <w:tcW w:type="dxa" w:w="2448"/>
            <w:vAlign w:val="top"/>
          </w:tcPr>
          <w:p>
            <w:r>
              <w:t>Response time</w:t>
            </w:r>
          </w:p>
        </w:tc>
        <w:tc>
          <w:tcPr>
            <w:tcW w:type="dxa" w:w="4320"/>
            <w:vAlign w:val="top"/>
          </w:tcPr>
          <w:p>
            <w:r>
              <w:t>Time between mention and first meaningful response</w:t>
            </w:r>
          </w:p>
        </w:tc>
        <w:tc>
          <w:tcPr>
            <w:tcW w:type="dxa" w:w="1728"/>
            <w:vAlign w:val="top"/>
          </w:tcPr>
          <w:p>
            <w:r>
              <w:t>Weekly</w:t>
            </w:r>
          </w:p>
        </w:tc>
      </w:tr>
      <w:tr>
        <w:tc>
          <w:tcPr>
            <w:tcW w:type="dxa" w:w="2448"/>
            <w:vAlign w:val="top"/>
            <w:shd w:fill="F3F6FA"/>
          </w:tcPr>
          <w:p>
            <w:r>
              <w:t>Resolution time</w:t>
            </w:r>
          </w:p>
        </w:tc>
        <w:tc>
          <w:tcPr>
            <w:tcW w:type="dxa" w:w="4320"/>
            <w:vAlign w:val="top"/>
            <w:shd w:fill="F3F6FA"/>
          </w:tcPr>
          <w:p>
            <w:r>
              <w:t>Time from logging an issue to documented resolution</w:t>
            </w:r>
          </w:p>
        </w:tc>
        <w:tc>
          <w:tcPr>
            <w:tcW w:type="dxa" w:w="1728"/>
            <w:vAlign w:val="top"/>
            <w:shd w:fill="F3F6FA"/>
          </w:tcPr>
          <w:p>
            <w:r>
              <w:t>Weekly</w:t>
            </w:r>
          </w:p>
        </w:tc>
      </w:tr>
      <w:tr>
        <w:tc>
          <w:tcPr>
            <w:tcW w:type="dxa" w:w="2448"/>
            <w:vAlign w:val="top"/>
          </w:tcPr>
          <w:p>
            <w:r>
              <w:t>Response coverage</w:t>
            </w:r>
          </w:p>
        </w:tc>
        <w:tc>
          <w:tcPr>
            <w:tcW w:type="dxa" w:w="4320"/>
            <w:vAlign w:val="top"/>
          </w:tcPr>
          <w:p>
            <w:r>
              <w:t>Share of actionable mentions receiving a response</w:t>
            </w:r>
          </w:p>
        </w:tc>
        <w:tc>
          <w:tcPr>
            <w:tcW w:type="dxa" w:w="1728"/>
            <w:vAlign w:val="top"/>
          </w:tcPr>
          <w:p>
            <w:r>
              <w:t>Weekly</w:t>
            </w:r>
          </w:p>
        </w:tc>
      </w:tr>
      <w:tr>
        <w:tc>
          <w:tcPr>
            <w:tcW w:type="dxa" w:w="2448"/>
            <w:vAlign w:val="top"/>
            <w:shd w:fill="F3F6FA"/>
          </w:tcPr>
          <w:p>
            <w:r>
              <w:t>Sentiment themes</w:t>
            </w:r>
          </w:p>
        </w:tc>
        <w:tc>
          <w:tcPr>
            <w:tcW w:type="dxa" w:w="4320"/>
            <w:vAlign w:val="top"/>
            <w:shd w:fill="F3F6FA"/>
          </w:tcPr>
          <w:p>
            <w:r>
              <w:t>Manual categorisation of positive, neutral, and negative themes</w:t>
            </w:r>
          </w:p>
        </w:tc>
        <w:tc>
          <w:tcPr>
            <w:tcW w:type="dxa" w:w="1728"/>
            <w:vAlign w:val="top"/>
            <w:shd w:fill="F3F6FA"/>
          </w:tcPr>
          <w:p>
            <w:r>
              <w:t>Monthly</w:t>
            </w:r>
          </w:p>
        </w:tc>
      </w:tr>
      <w:tr>
        <w:tc>
          <w:tcPr>
            <w:tcW w:type="dxa" w:w="2448"/>
            <w:vAlign w:val="top"/>
          </w:tcPr>
          <w:p>
            <w:r>
              <w:t>Recurring issue count</w:t>
            </w:r>
          </w:p>
        </w:tc>
        <w:tc>
          <w:tcPr>
            <w:tcW w:type="dxa" w:w="4320"/>
            <w:vAlign w:val="top"/>
          </w:tcPr>
          <w:p>
            <w:r>
              <w:t>Count of repeated complaints by category</w:t>
            </w:r>
          </w:p>
        </w:tc>
        <w:tc>
          <w:tcPr>
            <w:tcW w:type="dxa" w:w="1728"/>
            <w:vAlign w:val="top"/>
          </w:tcPr>
          <w:p>
            <w:r>
              <w:t>Monthly</w:t>
            </w:r>
          </w:p>
        </w:tc>
      </w:tr>
      <w:tr>
        <w:tc>
          <w:tcPr>
            <w:tcW w:type="dxa" w:w="2448"/>
            <w:vAlign w:val="top"/>
            <w:shd w:fill="F3F6FA"/>
          </w:tcPr>
          <w:p>
            <w:r>
              <w:t>Review volume and rating trend</w:t>
            </w:r>
          </w:p>
        </w:tc>
        <w:tc>
          <w:tcPr>
            <w:tcW w:type="dxa" w:w="4320"/>
            <w:vAlign w:val="top"/>
            <w:shd w:fill="F3F6FA"/>
          </w:tcPr>
          <w:p>
            <w:r>
              <w:t>Use platform data where available; do not manipulate reviews</w:t>
            </w:r>
          </w:p>
        </w:tc>
        <w:tc>
          <w:tcPr>
            <w:tcW w:type="dxa" w:w="1728"/>
            <w:vAlign w:val="top"/>
            <w:shd w:fill="F3F6FA"/>
          </w:tcPr>
          <w:p>
            <w:r>
              <w:t>Monthly</w:t>
            </w:r>
          </w:p>
        </w:tc>
      </w:tr>
    </w:tbl>
    <w:p>
      <w:pPr>
        <w:pStyle w:val="Heading1"/>
      </w:pPr>
      <w:r>
        <w:t>11. Escalation Matrix</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1F355E"/>
            <w:vAlign w:val="center"/>
          </w:tcPr>
          <w:p>
            <w:r>
              <w:rPr>
                <w:b/>
                <w:color w:val="FFFFFF"/>
              </w:rPr>
              <w:t>Issue</w:t>
            </w:r>
          </w:p>
        </w:tc>
        <w:tc>
          <w:tcPr>
            <w:tcW w:type="dxa" w:w="3960"/>
            <w:shd w:fill="1F355E"/>
            <w:vAlign w:val="center"/>
          </w:tcPr>
          <w:p>
            <w:r>
              <w:rPr>
                <w:b/>
                <w:color w:val="FFFFFF"/>
              </w:rPr>
              <w:t>Initial action</w:t>
            </w:r>
          </w:p>
        </w:tc>
        <w:tc>
          <w:tcPr>
            <w:tcW w:type="dxa" w:w="2304"/>
            <w:shd w:fill="1F355E"/>
            <w:vAlign w:val="center"/>
          </w:tcPr>
          <w:p>
            <w:r>
              <w:rPr>
                <w:b/>
                <w:color w:val="FFFFFF"/>
              </w:rPr>
              <w:t>Escalation</w:t>
            </w:r>
          </w:p>
        </w:tc>
      </w:tr>
      <w:tr>
        <w:tc>
          <w:tcPr>
            <w:tcW w:type="dxa" w:w="2448"/>
            <w:vAlign w:val="top"/>
          </w:tcPr>
          <w:p>
            <w:r>
              <w:t>General question</w:t>
            </w:r>
          </w:p>
        </w:tc>
        <w:tc>
          <w:tcPr>
            <w:tcW w:type="dxa" w:w="3960"/>
            <w:vAlign w:val="top"/>
          </w:tcPr>
          <w:p>
            <w:r>
              <w:t>Answer using approved information</w:t>
            </w:r>
          </w:p>
        </w:tc>
        <w:tc>
          <w:tcPr>
            <w:tcW w:type="dxa" w:w="2304"/>
            <w:vAlign w:val="top"/>
          </w:tcPr>
          <w:p>
            <w:r>
              <w:t>Community lead if uncertain</w:t>
            </w:r>
          </w:p>
        </w:tc>
      </w:tr>
      <w:tr>
        <w:tc>
          <w:tcPr>
            <w:tcW w:type="dxa" w:w="2448"/>
            <w:vAlign w:val="top"/>
            <w:shd w:fill="F3F6FA"/>
          </w:tcPr>
          <w:p>
            <w:r>
              <w:t>Delivery / refund complaint</w:t>
            </w:r>
          </w:p>
        </w:tc>
        <w:tc>
          <w:tcPr>
            <w:tcW w:type="dxa" w:w="3960"/>
            <w:vAlign w:val="top"/>
            <w:shd w:fill="F3F6FA"/>
          </w:tcPr>
          <w:p>
            <w:r>
              <w:t>Acknowledge and move details to secure support</w:t>
            </w:r>
          </w:p>
        </w:tc>
        <w:tc>
          <w:tcPr>
            <w:tcW w:type="dxa" w:w="2304"/>
            <w:vAlign w:val="top"/>
            <w:shd w:fill="F3F6FA"/>
          </w:tcPr>
          <w:p>
            <w:r>
              <w:t>Customer support owner</w:t>
            </w:r>
          </w:p>
        </w:tc>
      </w:tr>
      <w:tr>
        <w:tc>
          <w:tcPr>
            <w:tcW w:type="dxa" w:w="2448"/>
            <w:vAlign w:val="top"/>
          </w:tcPr>
          <w:p>
            <w:r>
              <w:t>Potential product safety issue</w:t>
            </w:r>
          </w:p>
        </w:tc>
        <w:tc>
          <w:tcPr>
            <w:tcW w:type="dxa" w:w="3960"/>
            <w:vAlign w:val="top"/>
          </w:tcPr>
          <w:p>
            <w:r>
              <w:t>Respond carefully; avoid medical diagnosis; record concern</w:t>
            </w:r>
          </w:p>
        </w:tc>
        <w:tc>
          <w:tcPr>
            <w:tcW w:type="dxa" w:w="2304"/>
            <w:vAlign w:val="top"/>
          </w:tcPr>
          <w:p>
            <w:r>
              <w:t>Responsible product / safety lead immediately</w:t>
            </w:r>
          </w:p>
        </w:tc>
      </w:tr>
      <w:tr>
        <w:tc>
          <w:tcPr>
            <w:tcW w:type="dxa" w:w="2448"/>
            <w:vAlign w:val="top"/>
            <w:shd w:fill="F3F6FA"/>
          </w:tcPr>
          <w:p>
            <w:r>
              <w:t>Privacy or legal concern</w:t>
            </w:r>
          </w:p>
        </w:tc>
        <w:tc>
          <w:tcPr>
            <w:tcW w:type="dxa" w:w="3960"/>
            <w:vAlign w:val="top"/>
            <w:shd w:fill="F3F6FA"/>
          </w:tcPr>
          <w:p>
            <w:r>
              <w:t>Do not discuss details publicly</w:t>
            </w:r>
          </w:p>
        </w:tc>
        <w:tc>
          <w:tcPr>
            <w:tcW w:type="dxa" w:w="2304"/>
            <w:vAlign w:val="top"/>
            <w:shd w:fill="F3F6FA"/>
          </w:tcPr>
          <w:p>
            <w:r>
              <w:t>Privacy / legal contact</w:t>
            </w:r>
          </w:p>
        </w:tc>
      </w:tr>
      <w:tr>
        <w:tc>
          <w:tcPr>
            <w:tcW w:type="dxa" w:w="2448"/>
            <w:vAlign w:val="top"/>
          </w:tcPr>
          <w:p>
            <w:r>
              <w:t>Threats, spam, or abusive content</w:t>
            </w:r>
          </w:p>
        </w:tc>
        <w:tc>
          <w:tcPr>
            <w:tcW w:type="dxa" w:w="3960"/>
            <w:vAlign w:val="top"/>
          </w:tcPr>
          <w:p>
            <w:r>
              <w:t>Preserve relevant evidence and apply platform policy</w:t>
            </w:r>
          </w:p>
        </w:tc>
        <w:tc>
          <w:tcPr>
            <w:tcW w:type="dxa" w:w="2304"/>
            <w:vAlign w:val="top"/>
          </w:tcPr>
          <w:p>
            <w:r>
              <w:t>Platform support / authorised manager</w:t>
            </w:r>
          </w:p>
        </w:tc>
      </w:tr>
    </w:tbl>
    <w:p>
      <w:pPr>
        <w:pStyle w:val="Heading1"/>
      </w:pPr>
      <w:r>
        <w:t>12. 30-Day Implementation Plan</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1F355E"/>
            <w:vAlign w:val="center"/>
          </w:tcPr>
          <w:p>
            <w:r>
              <w:rPr>
                <w:b/>
                <w:color w:val="FFFFFF"/>
              </w:rPr>
              <w:t>Period</w:t>
            </w:r>
          </w:p>
        </w:tc>
        <w:tc>
          <w:tcPr>
            <w:tcW w:type="dxa" w:w="4752"/>
            <w:shd w:fill="1F355E"/>
            <w:vAlign w:val="center"/>
          </w:tcPr>
          <w:p>
            <w:r>
              <w:rPr>
                <w:b/>
                <w:color w:val="FFFFFF"/>
              </w:rPr>
              <w:t>Actions</w:t>
            </w:r>
          </w:p>
        </w:tc>
        <w:tc>
          <w:tcPr>
            <w:tcW w:type="dxa" w:w="2520"/>
            <w:shd w:fill="1F355E"/>
            <w:vAlign w:val="center"/>
          </w:tcPr>
          <w:p>
            <w:r>
              <w:rPr>
                <w:b/>
                <w:color w:val="FFFFFF"/>
              </w:rPr>
              <w:t>Output</w:t>
            </w:r>
          </w:p>
        </w:tc>
      </w:tr>
      <w:tr>
        <w:tc>
          <w:tcPr>
            <w:tcW w:type="dxa" w:w="1440"/>
            <w:vAlign w:val="top"/>
          </w:tcPr>
          <w:p>
            <w:r>
              <w:t>Days 1–5</w:t>
            </w:r>
          </w:p>
        </w:tc>
        <w:tc>
          <w:tcPr>
            <w:tcW w:type="dxa" w:w="4752"/>
            <w:vAlign w:val="top"/>
          </w:tcPr>
          <w:p>
            <w:r>
              <w:t>List official channels, set alert terms, assign owners, define escalation contacts</w:t>
            </w:r>
          </w:p>
        </w:tc>
        <w:tc>
          <w:tcPr>
            <w:tcW w:type="dxa" w:w="2520"/>
            <w:vAlign w:val="top"/>
          </w:tcPr>
          <w:p>
            <w:r>
              <w:t>Monitoring setup</w:t>
            </w:r>
          </w:p>
        </w:tc>
      </w:tr>
      <w:tr>
        <w:tc>
          <w:tcPr>
            <w:tcW w:type="dxa" w:w="1440"/>
            <w:vAlign w:val="top"/>
            <w:shd w:fill="F3F6FA"/>
          </w:tcPr>
          <w:p>
            <w:r>
              <w:t>Days 6–10</w:t>
            </w:r>
          </w:p>
        </w:tc>
        <w:tc>
          <w:tcPr>
            <w:tcW w:type="dxa" w:w="4752"/>
            <w:vAlign w:val="top"/>
            <w:shd w:fill="F3F6FA"/>
          </w:tcPr>
          <w:p>
            <w:r>
              <w:t>Create tracker, response templates, and tone guidelines</w:t>
            </w:r>
          </w:p>
        </w:tc>
        <w:tc>
          <w:tcPr>
            <w:tcW w:type="dxa" w:w="2520"/>
            <w:vAlign w:val="top"/>
            <w:shd w:fill="F3F6FA"/>
          </w:tcPr>
          <w:p>
            <w:r>
              <w:t>Response playbook</w:t>
            </w:r>
          </w:p>
        </w:tc>
      </w:tr>
      <w:tr>
        <w:tc>
          <w:tcPr>
            <w:tcW w:type="dxa" w:w="1440"/>
            <w:vAlign w:val="top"/>
          </w:tcPr>
          <w:p>
            <w:r>
              <w:t>Days 11–20</w:t>
            </w:r>
          </w:p>
        </w:tc>
        <w:tc>
          <w:tcPr>
            <w:tcW w:type="dxa" w:w="4752"/>
            <w:vAlign w:val="top"/>
          </w:tcPr>
          <w:p>
            <w:r>
              <w:t>Monitor daily, categorise mentions, respond and document actions</w:t>
            </w:r>
          </w:p>
        </w:tc>
        <w:tc>
          <w:tcPr>
            <w:tcW w:type="dxa" w:w="2520"/>
            <w:vAlign w:val="top"/>
          </w:tcPr>
          <w:p>
            <w:r>
              <w:t>Updated mention log</w:t>
            </w:r>
          </w:p>
        </w:tc>
      </w:tr>
      <w:tr>
        <w:tc>
          <w:tcPr>
            <w:tcW w:type="dxa" w:w="1440"/>
            <w:vAlign w:val="top"/>
            <w:shd w:fill="F3F6FA"/>
          </w:tcPr>
          <w:p>
            <w:r>
              <w:t>Days 21–30</w:t>
            </w:r>
          </w:p>
        </w:tc>
        <w:tc>
          <w:tcPr>
            <w:tcW w:type="dxa" w:w="4752"/>
            <w:vAlign w:val="top"/>
            <w:shd w:fill="F3F6FA"/>
          </w:tcPr>
          <w:p>
            <w:r>
              <w:t>Review recurring themes, response times, and unresolved issues</w:t>
            </w:r>
          </w:p>
        </w:tc>
        <w:tc>
          <w:tcPr>
            <w:tcW w:type="dxa" w:w="2520"/>
            <w:vAlign w:val="top"/>
            <w:shd w:fill="F3F6FA"/>
          </w:tcPr>
          <w:p>
            <w:r>
              <w:t>Monthly reputation report and improvement list</w:t>
            </w:r>
          </w:p>
        </w:tc>
      </w:tr>
    </w:tbl>
    <w:p>
      <w:pPr>
        <w:pStyle w:val="Heading1"/>
      </w:pPr>
      <w:r>
        <w:t>13. Conclusion</w:t>
      </w:r>
    </w:p>
    <w:p>
      <w:r>
        <w:t>A reliable reputation process combines active listening, calm and accurate responses, privacy protection, fair review practices, and improvements based on recurring feedback. The process should be reviewed monthly and adapted to the brand’s real channels and policies.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5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5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55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