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1075" w:rsidRPr="006C1075" w:rsidRDefault="006C1075" w:rsidP="006C1075">
      <w:pPr>
        <w:spacing w:line="360" w:lineRule="auto"/>
        <w:ind w:left="-426"/>
        <w:jc w:val="both"/>
        <w:rPr>
          <w:rFonts w:ascii="Arial" w:eastAsia="Times New Roman" w:hAnsi="Arial" w:cs="Arial"/>
          <w:b/>
          <w:bCs/>
          <w:sz w:val="30"/>
          <w:szCs w:val="30"/>
          <w:lang w:eastAsia="en-IN"/>
        </w:rPr>
      </w:pPr>
      <w:bookmarkStart w:id="0" w:name="_GoBack"/>
      <w:r w:rsidRPr="006C1075">
        <w:rPr>
          <w:rFonts w:ascii="Arial" w:eastAsia="Times New Roman" w:hAnsi="Arial" w:cs="Arial"/>
          <w:b/>
          <w:bCs/>
          <w:sz w:val="30"/>
          <w:szCs w:val="30"/>
          <w:lang w:eastAsia="en-IN"/>
        </w:rPr>
        <w:t>AIDE-MEMOIRE (TENDER BRIEF)</w:t>
      </w:r>
    </w:p>
    <w:bookmarkEnd w:id="0"/>
    <w:p w:rsidR="006C1075" w:rsidRPr="006C1075" w:rsidRDefault="006C1075" w:rsidP="006C1075">
      <w:pPr>
        <w:spacing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Tender Name:</w:t>
      </w:r>
      <w:r w:rsidRPr="006C1075">
        <w:rPr>
          <w:rFonts w:ascii="Arial" w:eastAsia="Times New Roman" w:hAnsi="Arial" w:cs="Arial"/>
          <w:sz w:val="24"/>
          <w:szCs w:val="24"/>
          <w:lang w:eastAsia="en-IN"/>
        </w:rPr>
        <w:t xml:space="preserve"> EPC Package for Development of 1100 MW / 3300 MWh ISTS-Connected Battery Energy Storage System (BESS) at NTPC REL </w:t>
      </w:r>
      <w:proofErr w:type="spellStart"/>
      <w:r w:rsidRPr="006C1075">
        <w:rPr>
          <w:rFonts w:ascii="Arial" w:eastAsia="Times New Roman" w:hAnsi="Arial" w:cs="Arial"/>
          <w:sz w:val="24"/>
          <w:szCs w:val="24"/>
          <w:lang w:eastAsia="en-IN"/>
        </w:rPr>
        <w:t>Khavda</w:t>
      </w:r>
      <w:proofErr w:type="spellEnd"/>
      <w:r w:rsidRPr="006C1075">
        <w:rPr>
          <w:rFonts w:ascii="Arial" w:eastAsia="Times New Roman" w:hAnsi="Arial" w:cs="Arial"/>
          <w:sz w:val="24"/>
          <w:szCs w:val="24"/>
          <w:lang w:eastAsia="en-IN"/>
        </w:rPr>
        <w:t xml:space="preserve"> Solar Plant, Gujarat (Technical ... pp. 2, 7).</w:t>
      </w:r>
      <w:r w:rsidRPr="006C1075">
        <w:rPr>
          <w:rFonts w:ascii="Arial" w:eastAsia="Times New Roman" w:hAnsi="Arial" w:cs="Arial"/>
          <w:sz w:val="24"/>
          <w:szCs w:val="24"/>
          <w:lang w:eastAsia="en-IN"/>
        </w:rPr>
        <w:br/>
      </w:r>
      <w:r w:rsidRPr="006C1075">
        <w:rPr>
          <w:rFonts w:ascii="Arial" w:eastAsia="Times New Roman" w:hAnsi="Arial" w:cs="Arial"/>
          <w:b/>
          <w:bCs/>
          <w:sz w:val="24"/>
          <w:szCs w:val="24"/>
          <w:lang w:eastAsia="en-IN"/>
        </w:rPr>
        <w:t>Bidding Reference:</w:t>
      </w:r>
      <w:r w:rsidRPr="006C1075">
        <w:rPr>
          <w:rFonts w:ascii="Arial" w:eastAsia="Times New Roman" w:hAnsi="Arial" w:cs="Arial"/>
          <w:sz w:val="24"/>
          <w:szCs w:val="24"/>
          <w:lang w:eastAsia="en-IN"/>
        </w:rPr>
        <w:t xml:space="preserve"> Bidding Document No: NGEL-CS-5779-004(BESS1)-9 (Technical ... p. 1).</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45" style="width:0;height:1.5pt" o:hralign="center" o:hrstd="t" o:hr="t" fillcolor="#a0a0a0" stroked="f"/>
        </w:pict>
      </w:r>
    </w:p>
    <w:p w:rsidR="006C1075" w:rsidRPr="006C1075" w:rsidRDefault="006C1075" w:rsidP="006C1075">
      <w:pPr>
        <w:spacing w:before="480" w:after="480" w:line="360" w:lineRule="auto"/>
        <w:ind w:left="-426"/>
        <w:jc w:val="both"/>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1. Project Context &amp; Business Model</w:t>
      </w:r>
    </w:p>
    <w:p w:rsidR="006C1075" w:rsidRPr="006C1075" w:rsidRDefault="006C1075" w:rsidP="006C1075">
      <w:pPr>
        <w:numPr>
          <w:ilvl w:val="0"/>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Stakeholder Framework:</w:t>
      </w:r>
      <w:r w:rsidRPr="006C1075">
        <w:rPr>
          <w:rFonts w:ascii="Arial" w:eastAsia="Times New Roman" w:hAnsi="Arial" w:cs="Arial"/>
          <w:sz w:val="24"/>
          <w:szCs w:val="24"/>
          <w:lang w:eastAsia="en-IN"/>
        </w:rPr>
        <w:t xml:space="preserve"> NTPC Green Energy Limited (NGEL), a subsidiary of NTPC Limited, is the employer (Technical ... p. 6). The project is developed for NTPC Renewable Energy Limited (NTPC REL), which is setting up 1200 MW of ISTS-connected Solar PV Projects at </w:t>
      </w:r>
      <w:proofErr w:type="spellStart"/>
      <w:r w:rsidRPr="006C1075">
        <w:rPr>
          <w:rFonts w:ascii="Arial" w:eastAsia="Times New Roman" w:hAnsi="Arial" w:cs="Arial"/>
          <w:sz w:val="24"/>
          <w:szCs w:val="24"/>
          <w:lang w:eastAsia="en-IN"/>
        </w:rPr>
        <w:t>Khavda</w:t>
      </w:r>
      <w:proofErr w:type="spellEnd"/>
      <w:r w:rsidRPr="006C1075">
        <w:rPr>
          <w:rFonts w:ascii="Arial" w:eastAsia="Times New Roman" w:hAnsi="Arial" w:cs="Arial"/>
          <w:sz w:val="24"/>
          <w:szCs w:val="24"/>
          <w:lang w:eastAsia="en-IN"/>
        </w:rPr>
        <w:t xml:space="preserve"> (Technical ... p. 7).</w:t>
      </w:r>
    </w:p>
    <w:p w:rsidR="006C1075" w:rsidRPr="006C1075" w:rsidRDefault="006C1075" w:rsidP="006C1075">
      <w:pPr>
        <w:numPr>
          <w:ilvl w:val="0"/>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Execution Philosophy:</w:t>
      </w:r>
      <w:r w:rsidRPr="006C1075">
        <w:rPr>
          <w:rFonts w:ascii="Arial" w:eastAsia="Times New Roman" w:hAnsi="Arial" w:cs="Arial"/>
          <w:sz w:val="24"/>
          <w:szCs w:val="24"/>
          <w:lang w:eastAsia="en-IN"/>
        </w:rPr>
        <w:t xml:space="preserve"> Single-Responsibility EPC Package mode spanning design, engineering, supply, erection, testing, commissioning, and associated performance warranties (Technical ... p. 7).</w:t>
      </w:r>
    </w:p>
    <w:p w:rsidR="006C1075" w:rsidRPr="006C1075" w:rsidRDefault="006C1075" w:rsidP="006C1075">
      <w:pPr>
        <w:numPr>
          <w:ilvl w:val="0"/>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Project Slicing (Four Blocks):</w:t>
      </w:r>
      <w:r w:rsidRPr="006C1075">
        <w:rPr>
          <w:rFonts w:ascii="Arial" w:eastAsia="Times New Roman" w:hAnsi="Arial" w:cs="Arial"/>
          <w:sz w:val="24"/>
          <w:szCs w:val="24"/>
          <w:lang w:eastAsia="en-IN"/>
        </w:rPr>
        <w:t xml:space="preserve"> The project is structured across four independent blocks, each handled through a distinct EPC package contract (Technical ... p. 7):</w:t>
      </w:r>
    </w:p>
    <w:p w:rsidR="006C1075" w:rsidRPr="006C1075" w:rsidRDefault="006C1075" w:rsidP="006C1075">
      <w:pPr>
        <w:numPr>
          <w:ilvl w:val="1"/>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Block-1:</w:t>
      </w:r>
      <w:r w:rsidRPr="006C1075">
        <w:rPr>
          <w:rFonts w:ascii="Arial" w:eastAsia="Times New Roman" w:hAnsi="Arial" w:cs="Arial"/>
          <w:sz w:val="24"/>
          <w:szCs w:val="24"/>
          <w:lang w:eastAsia="en-IN"/>
        </w:rPr>
        <w:t xml:space="preserve"> 300 MW / 900 MWh at PSS-1 (Technical ... p. 7)</w:t>
      </w:r>
    </w:p>
    <w:p w:rsidR="006C1075" w:rsidRPr="006C1075" w:rsidRDefault="006C1075" w:rsidP="006C1075">
      <w:pPr>
        <w:numPr>
          <w:ilvl w:val="1"/>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Block-2:</w:t>
      </w:r>
      <w:r w:rsidRPr="006C1075">
        <w:rPr>
          <w:rFonts w:ascii="Arial" w:eastAsia="Times New Roman" w:hAnsi="Arial" w:cs="Arial"/>
          <w:sz w:val="24"/>
          <w:szCs w:val="24"/>
          <w:lang w:eastAsia="en-IN"/>
        </w:rPr>
        <w:t xml:space="preserve"> 300 MW / 900 MWh at PSS-1 (Technical ... p. 7)</w:t>
      </w:r>
    </w:p>
    <w:p w:rsidR="006C1075" w:rsidRPr="006C1075" w:rsidRDefault="006C1075" w:rsidP="006C1075">
      <w:pPr>
        <w:numPr>
          <w:ilvl w:val="1"/>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Block-3:</w:t>
      </w:r>
      <w:r w:rsidRPr="006C1075">
        <w:rPr>
          <w:rFonts w:ascii="Arial" w:eastAsia="Times New Roman" w:hAnsi="Arial" w:cs="Arial"/>
          <w:sz w:val="24"/>
          <w:szCs w:val="24"/>
          <w:lang w:eastAsia="en-IN"/>
        </w:rPr>
        <w:t xml:space="preserve"> 300 MW / 900 MWh at PSS-1 (Technical ... p. 7)</w:t>
      </w:r>
    </w:p>
    <w:p w:rsidR="006C1075" w:rsidRPr="006C1075" w:rsidRDefault="006C1075" w:rsidP="006C1075">
      <w:pPr>
        <w:numPr>
          <w:ilvl w:val="1"/>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Block-4:</w:t>
      </w:r>
      <w:r w:rsidRPr="006C1075">
        <w:rPr>
          <w:rFonts w:ascii="Arial" w:eastAsia="Times New Roman" w:hAnsi="Arial" w:cs="Arial"/>
          <w:sz w:val="24"/>
          <w:szCs w:val="24"/>
          <w:lang w:eastAsia="en-IN"/>
        </w:rPr>
        <w:t xml:space="preserve"> 200 MW / 600 MWh at PSS-1 (Technical ... p. 7)</w:t>
      </w:r>
    </w:p>
    <w:p w:rsidR="006C1075" w:rsidRPr="006C1075" w:rsidRDefault="006C1075" w:rsidP="006C1075">
      <w:pPr>
        <w:numPr>
          <w:ilvl w:val="0"/>
          <w:numId w:val="1"/>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Land Allocation:</w:t>
      </w:r>
      <w:r w:rsidRPr="006C1075">
        <w:rPr>
          <w:rFonts w:ascii="Arial" w:eastAsia="Times New Roman" w:hAnsi="Arial" w:cs="Arial"/>
          <w:sz w:val="24"/>
          <w:szCs w:val="24"/>
          <w:lang w:eastAsia="en-IN"/>
        </w:rPr>
        <w:t xml:space="preserve"> Land will be provided by the Owner on an "as-is, where-is" basis at an approximate density of </w:t>
      </w:r>
      <w:r w:rsidRPr="006C1075">
        <w:rPr>
          <w:rFonts w:ascii="Arial" w:eastAsia="Times New Roman" w:hAnsi="Arial" w:cs="Arial"/>
          <w:b/>
          <w:bCs/>
          <w:sz w:val="24"/>
          <w:szCs w:val="24"/>
          <w:lang w:eastAsia="en-IN"/>
        </w:rPr>
        <w:t>2.5 acres per 100 MWh</w:t>
      </w:r>
      <w:r w:rsidRPr="006C1075">
        <w:rPr>
          <w:rFonts w:ascii="Arial" w:eastAsia="Times New Roman" w:hAnsi="Arial" w:cs="Arial"/>
          <w:sz w:val="24"/>
          <w:szCs w:val="24"/>
          <w:lang w:eastAsia="en-IN"/>
        </w:rPr>
        <w:t xml:space="preserve"> (Technical ... p. 10).</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46" style="width:0;height:1.5pt" o:hralign="center" o:hrstd="t" o:hr="t" fillcolor="#a0a0a0" stroked="f"/>
        </w:pict>
      </w:r>
    </w:p>
    <w:p w:rsidR="006C1075" w:rsidRPr="006C1075" w:rsidRDefault="006C1075" w:rsidP="006C1075">
      <w:pPr>
        <w:spacing w:before="480" w:after="480" w:line="360" w:lineRule="auto"/>
        <w:ind w:left="-426"/>
        <w:jc w:val="both"/>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2. Core Plant &amp; Technical Specifications</w:t>
      </w:r>
    </w:p>
    <w:p w:rsidR="006C1075" w:rsidRPr="006C1075" w:rsidRDefault="006C1075" w:rsidP="006C1075">
      <w:pPr>
        <w:numPr>
          <w:ilvl w:val="0"/>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Total Project Rating:</w:t>
      </w:r>
      <w:r w:rsidRPr="006C1075">
        <w:rPr>
          <w:rFonts w:ascii="Arial" w:eastAsia="Times New Roman" w:hAnsi="Arial" w:cs="Arial"/>
          <w:sz w:val="24"/>
          <w:szCs w:val="24"/>
          <w:lang w:eastAsia="en-IN"/>
        </w:rPr>
        <w:t xml:space="preserve"> </w:t>
      </w:r>
      <w:r w:rsidRPr="006C1075">
        <w:rPr>
          <w:rFonts w:ascii="Arial" w:eastAsia="Times New Roman" w:hAnsi="Arial" w:cs="Arial"/>
          <w:b/>
          <w:bCs/>
          <w:sz w:val="24"/>
          <w:szCs w:val="24"/>
          <w:lang w:eastAsia="en-IN"/>
        </w:rPr>
        <w:t>1100 MW (AC deliverable) / 3300 MWh (AC deliverable)</w:t>
      </w:r>
      <w:r w:rsidRPr="006C1075">
        <w:rPr>
          <w:rFonts w:ascii="Arial" w:eastAsia="Times New Roman" w:hAnsi="Arial" w:cs="Arial"/>
          <w:sz w:val="24"/>
          <w:szCs w:val="24"/>
          <w:lang w:eastAsia="en-IN"/>
        </w:rPr>
        <w:t xml:space="preserve"> at the Point of Interconnection (POI) (Technical ... pp. 2, 8).</w:t>
      </w:r>
    </w:p>
    <w:p w:rsidR="006C1075" w:rsidRPr="006C1075" w:rsidRDefault="006C1075" w:rsidP="006C1075">
      <w:pPr>
        <w:numPr>
          <w:ilvl w:val="0"/>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lastRenderedPageBreak/>
        <w:t>Operating C-Rate:</w:t>
      </w:r>
      <w:r w:rsidRPr="006C1075">
        <w:rPr>
          <w:rFonts w:ascii="Arial" w:eastAsia="Times New Roman" w:hAnsi="Arial" w:cs="Arial"/>
          <w:sz w:val="24"/>
          <w:szCs w:val="24"/>
          <w:lang w:eastAsia="en-IN"/>
        </w:rPr>
        <w:t xml:space="preserve"> Set at </w:t>
      </w:r>
      <w:r w:rsidRPr="006C1075">
        <w:rPr>
          <w:rFonts w:ascii="Arial" w:eastAsia="Times New Roman" w:hAnsi="Arial" w:cs="Arial"/>
          <w:b/>
          <w:bCs/>
          <w:sz w:val="24"/>
          <w:szCs w:val="24"/>
          <w:lang w:eastAsia="en-IN"/>
        </w:rPr>
        <w:t>0.25 C</w:t>
      </w:r>
      <w:r w:rsidRPr="006C1075">
        <w:rPr>
          <w:rFonts w:ascii="Arial" w:eastAsia="Times New Roman" w:hAnsi="Arial" w:cs="Arial"/>
          <w:sz w:val="24"/>
          <w:szCs w:val="24"/>
          <w:lang w:eastAsia="en-IN"/>
        </w:rPr>
        <w:t xml:space="preserve"> (implied by 3-hour or 4-hour rated discharge systems at rated power) (Technical ... p. 26). The BESS must provide a minimum of 4 hours, 3 hours, or 2 hours of discharging capacity at rated power depending on the block configuration (Technical ... p. 26).</w:t>
      </w:r>
    </w:p>
    <w:p w:rsidR="006C1075" w:rsidRPr="006C1075" w:rsidRDefault="006C1075" w:rsidP="006C1075">
      <w:pPr>
        <w:numPr>
          <w:ilvl w:val="0"/>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Battery Technology:</w:t>
      </w:r>
      <w:r w:rsidRPr="006C1075">
        <w:rPr>
          <w:rFonts w:ascii="Arial" w:eastAsia="Times New Roman" w:hAnsi="Arial" w:cs="Arial"/>
          <w:sz w:val="24"/>
          <w:szCs w:val="24"/>
          <w:lang w:eastAsia="en-IN"/>
        </w:rPr>
        <w:t xml:space="preserve"> Advanced Chemistry Cells (ACCs) (Technical ... p. 10).</w:t>
      </w:r>
    </w:p>
    <w:p w:rsidR="006C1075" w:rsidRPr="006C1075" w:rsidRDefault="006C1075" w:rsidP="006C1075">
      <w:pPr>
        <w:numPr>
          <w:ilvl w:val="0"/>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Turnkey Asset Lifecycle:</w:t>
      </w:r>
      <w:r w:rsidRPr="006C1075">
        <w:rPr>
          <w:rFonts w:ascii="Arial" w:eastAsia="Times New Roman" w:hAnsi="Arial" w:cs="Arial"/>
          <w:sz w:val="24"/>
          <w:szCs w:val="24"/>
          <w:lang w:eastAsia="en-IN"/>
        </w:rPr>
        <w:t xml:space="preserve"> Sized for a minimum design lifecycle of </w:t>
      </w:r>
      <w:r w:rsidRPr="006C1075">
        <w:rPr>
          <w:rFonts w:ascii="Arial" w:eastAsia="Times New Roman" w:hAnsi="Arial" w:cs="Arial"/>
          <w:b/>
          <w:bCs/>
          <w:sz w:val="24"/>
          <w:szCs w:val="24"/>
          <w:lang w:eastAsia="en-IN"/>
        </w:rPr>
        <w:t>25 years</w:t>
      </w:r>
      <w:r w:rsidRPr="006C1075">
        <w:rPr>
          <w:rFonts w:ascii="Arial" w:eastAsia="Times New Roman" w:hAnsi="Arial" w:cs="Arial"/>
          <w:sz w:val="24"/>
          <w:szCs w:val="24"/>
          <w:lang w:eastAsia="en-IN"/>
        </w:rPr>
        <w:t xml:space="preserve"> from the date of final commissioning (accounting for progressive battery degradation over single daily cycle profiles) (Technical ... p. 40).</w:t>
      </w:r>
    </w:p>
    <w:p w:rsidR="006C1075" w:rsidRPr="006C1075" w:rsidRDefault="006C1075" w:rsidP="006C1075">
      <w:pPr>
        <w:numPr>
          <w:ilvl w:val="0"/>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Cyclic Endurance Floor:</w:t>
      </w:r>
      <w:r w:rsidRPr="006C1075">
        <w:rPr>
          <w:rFonts w:ascii="Arial" w:eastAsia="Times New Roman" w:hAnsi="Arial" w:cs="Arial"/>
          <w:sz w:val="24"/>
          <w:szCs w:val="24"/>
          <w:lang w:eastAsia="en-IN"/>
        </w:rPr>
        <w:t xml:space="preserve"> Offered battery units must be certified for a minimum lifespan of </w:t>
      </w:r>
      <w:r w:rsidRPr="006C1075">
        <w:rPr>
          <w:rFonts w:ascii="Arial" w:eastAsia="Times New Roman" w:hAnsi="Arial" w:cs="Arial"/>
          <w:b/>
          <w:bCs/>
          <w:sz w:val="24"/>
          <w:szCs w:val="24"/>
          <w:lang w:eastAsia="en-IN"/>
        </w:rPr>
        <w:t>10,000 operational cycles</w:t>
      </w:r>
      <w:r w:rsidRPr="006C1075">
        <w:rPr>
          <w:rFonts w:ascii="Arial" w:eastAsia="Times New Roman" w:hAnsi="Arial" w:cs="Arial"/>
          <w:sz w:val="24"/>
          <w:szCs w:val="24"/>
          <w:lang w:eastAsia="en-IN"/>
        </w:rPr>
        <w:t xml:space="preserve"> (Technical ... p. 40).</w:t>
      </w:r>
    </w:p>
    <w:p w:rsidR="006C1075" w:rsidRPr="006C1075" w:rsidRDefault="006C1075" w:rsidP="006C1075">
      <w:pPr>
        <w:numPr>
          <w:ilvl w:val="0"/>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Minimum Nameplate Initial Sizing:</w:t>
      </w:r>
      <w:r w:rsidRPr="006C1075">
        <w:rPr>
          <w:rFonts w:ascii="Arial" w:eastAsia="Times New Roman" w:hAnsi="Arial" w:cs="Arial"/>
          <w:sz w:val="24"/>
          <w:szCs w:val="24"/>
          <w:lang w:eastAsia="en-IN"/>
        </w:rPr>
        <w:t xml:space="preserve"> Bidders are strictly mandated to over-provision the initial nameplate capacity at COD to mitigate early degradation (Technical ... pp. 23, 41):</w:t>
      </w:r>
    </w:p>
    <w:p w:rsidR="006C1075" w:rsidRPr="006C1075" w:rsidRDefault="006C1075" w:rsidP="006C1075">
      <w:pPr>
        <w:numPr>
          <w:ilvl w:val="1"/>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Blocks 1, 2, &amp; 3 (900 MWh Deliverable):</w:t>
      </w:r>
      <w:r w:rsidRPr="006C1075">
        <w:rPr>
          <w:rFonts w:ascii="Arial" w:eastAsia="Times New Roman" w:hAnsi="Arial" w:cs="Arial"/>
          <w:sz w:val="24"/>
          <w:szCs w:val="24"/>
          <w:lang w:eastAsia="en-IN"/>
        </w:rPr>
        <w:t xml:space="preserve"> </w:t>
      </w:r>
      <w:r w:rsidRPr="006C1075">
        <w:rPr>
          <w:rFonts w:ascii="Arial" w:eastAsia="Times New Roman" w:hAnsi="Arial" w:cs="Arial"/>
          <w:b/>
          <w:bCs/>
          <w:sz w:val="24"/>
          <w:szCs w:val="24"/>
          <w:lang w:eastAsia="en-IN"/>
        </w:rPr>
        <w:t>990 MWh</w:t>
      </w:r>
      <w:r w:rsidRPr="006C1075">
        <w:rPr>
          <w:rFonts w:ascii="Arial" w:eastAsia="Times New Roman" w:hAnsi="Arial" w:cs="Arial"/>
          <w:sz w:val="24"/>
          <w:szCs w:val="24"/>
          <w:lang w:eastAsia="en-IN"/>
        </w:rPr>
        <w:t xml:space="preserve"> minimum installed nameplate capacity (Technical ... p. 41).</w:t>
      </w:r>
    </w:p>
    <w:p w:rsidR="006C1075" w:rsidRPr="006C1075" w:rsidRDefault="006C1075" w:rsidP="006C1075">
      <w:pPr>
        <w:numPr>
          <w:ilvl w:val="1"/>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Block 4 (600 MWh Deliverable):</w:t>
      </w:r>
      <w:r w:rsidRPr="006C1075">
        <w:rPr>
          <w:rFonts w:ascii="Arial" w:eastAsia="Times New Roman" w:hAnsi="Arial" w:cs="Arial"/>
          <w:sz w:val="24"/>
          <w:szCs w:val="24"/>
          <w:lang w:eastAsia="en-IN"/>
        </w:rPr>
        <w:t xml:space="preserve"> </w:t>
      </w:r>
      <w:r w:rsidRPr="006C1075">
        <w:rPr>
          <w:rFonts w:ascii="Arial" w:eastAsia="Times New Roman" w:hAnsi="Arial" w:cs="Arial"/>
          <w:b/>
          <w:bCs/>
          <w:sz w:val="24"/>
          <w:szCs w:val="24"/>
          <w:lang w:eastAsia="en-IN"/>
        </w:rPr>
        <w:t>660 MWh</w:t>
      </w:r>
      <w:r w:rsidRPr="006C1075">
        <w:rPr>
          <w:rFonts w:ascii="Arial" w:eastAsia="Times New Roman" w:hAnsi="Arial" w:cs="Arial"/>
          <w:sz w:val="24"/>
          <w:szCs w:val="24"/>
          <w:lang w:eastAsia="en-IN"/>
        </w:rPr>
        <w:t xml:space="preserve"> minimum installed nameplate capacity (Technical ... p. 41).</w:t>
      </w:r>
    </w:p>
    <w:p w:rsidR="006C1075" w:rsidRPr="006C1075" w:rsidRDefault="006C1075" w:rsidP="006C1075">
      <w:pPr>
        <w:numPr>
          <w:ilvl w:val="0"/>
          <w:numId w:val="2"/>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Mandatory Lifecycle Augmentation:</w:t>
      </w:r>
      <w:r w:rsidRPr="006C1075">
        <w:rPr>
          <w:rFonts w:ascii="Arial" w:eastAsia="Times New Roman" w:hAnsi="Arial" w:cs="Arial"/>
          <w:sz w:val="24"/>
          <w:szCs w:val="24"/>
          <w:lang w:eastAsia="en-IN"/>
        </w:rPr>
        <w:t xml:space="preserve"> Augmentation plans must include </w:t>
      </w:r>
      <w:r w:rsidRPr="006C1075">
        <w:rPr>
          <w:rFonts w:ascii="Arial" w:eastAsia="Times New Roman" w:hAnsi="Arial" w:cs="Arial"/>
          <w:b/>
          <w:bCs/>
          <w:sz w:val="24"/>
          <w:szCs w:val="24"/>
          <w:lang w:eastAsia="en-IN"/>
        </w:rPr>
        <w:t>at least 15% of the awarded nameplate capacity</w:t>
      </w:r>
      <w:r w:rsidRPr="006C1075">
        <w:rPr>
          <w:rFonts w:ascii="Arial" w:eastAsia="Times New Roman" w:hAnsi="Arial" w:cs="Arial"/>
          <w:sz w:val="24"/>
          <w:szCs w:val="24"/>
          <w:lang w:eastAsia="en-IN"/>
        </w:rPr>
        <w:t xml:space="preserve"> spread proactively over the 15-year O&amp;M tenure (Technical ... p. 27). Bidders must spread this capacity addition with at least </w:t>
      </w:r>
      <w:r w:rsidRPr="006C1075">
        <w:rPr>
          <w:rFonts w:ascii="Arial" w:eastAsia="Times New Roman" w:hAnsi="Arial" w:cs="Arial"/>
          <w:b/>
          <w:bCs/>
          <w:sz w:val="24"/>
          <w:szCs w:val="24"/>
          <w:lang w:eastAsia="en-IN"/>
        </w:rPr>
        <w:t>5% of the awarded capacity allocated in each 5-year block</w:t>
      </w:r>
      <w:r w:rsidRPr="006C1075">
        <w:rPr>
          <w:rFonts w:ascii="Arial" w:eastAsia="Times New Roman" w:hAnsi="Arial" w:cs="Arial"/>
          <w:sz w:val="24"/>
          <w:szCs w:val="24"/>
          <w:lang w:eastAsia="en-IN"/>
        </w:rPr>
        <w:t xml:space="preserve"> (Years 1–5, 6–10, and 11–15) (Technical ... p. 27).</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47" style="width:0;height:1.5pt" o:hralign="center" o:hrstd="t" o:hr="t" fillcolor="#a0a0a0" stroked="f"/>
        </w:pict>
      </w:r>
    </w:p>
    <w:p w:rsidR="006C1075" w:rsidRPr="006C1075" w:rsidRDefault="006C1075" w:rsidP="006C1075">
      <w:pPr>
        <w:spacing w:before="480" w:after="480" w:line="360" w:lineRule="auto"/>
        <w:ind w:left="-426"/>
        <w:jc w:val="both"/>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xml:space="preserve"> 3. Electrical Infrastructure &amp; Power Evacuation</w:t>
      </w:r>
    </w:p>
    <w:p w:rsidR="006C1075" w:rsidRPr="006C1075" w:rsidRDefault="006C1075" w:rsidP="006C1075">
      <w:pPr>
        <w:numPr>
          <w:ilvl w:val="0"/>
          <w:numId w:val="3"/>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Termination Point:</w:t>
      </w:r>
      <w:r w:rsidRPr="006C1075">
        <w:rPr>
          <w:rFonts w:ascii="Arial" w:eastAsia="Times New Roman" w:hAnsi="Arial" w:cs="Arial"/>
          <w:sz w:val="24"/>
          <w:szCs w:val="24"/>
          <w:lang w:eastAsia="en-IN"/>
        </w:rPr>
        <w:t xml:space="preserve"> Point of Coupling (POC) registers at the Owner's </w:t>
      </w:r>
      <w:r w:rsidRPr="006C1075">
        <w:rPr>
          <w:rFonts w:ascii="Arial" w:eastAsia="Times New Roman" w:hAnsi="Arial" w:cs="Arial"/>
          <w:b/>
          <w:bCs/>
          <w:sz w:val="24"/>
          <w:szCs w:val="24"/>
          <w:lang w:eastAsia="en-IN"/>
        </w:rPr>
        <w:t>Indoor 33 kV Main Pooling Switchgear</w:t>
      </w:r>
      <w:r w:rsidRPr="006C1075">
        <w:rPr>
          <w:rFonts w:ascii="Arial" w:eastAsia="Times New Roman" w:hAnsi="Arial" w:cs="Arial"/>
          <w:sz w:val="24"/>
          <w:szCs w:val="24"/>
          <w:lang w:eastAsia="en-IN"/>
        </w:rPr>
        <w:t xml:space="preserve"> situated at the 400kV/33kV substation yard (Technical ... p. 8).</w:t>
      </w:r>
    </w:p>
    <w:p w:rsidR="006C1075" w:rsidRPr="006C1075" w:rsidRDefault="006C1075" w:rsidP="006C1075">
      <w:pPr>
        <w:numPr>
          <w:ilvl w:val="0"/>
          <w:numId w:val="3"/>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Switchgear Extension Work:</w:t>
      </w:r>
      <w:r w:rsidRPr="006C1075">
        <w:rPr>
          <w:rFonts w:ascii="Arial" w:eastAsia="Times New Roman" w:hAnsi="Arial" w:cs="Arial"/>
          <w:sz w:val="24"/>
          <w:szCs w:val="24"/>
          <w:lang w:eastAsia="en-IN"/>
        </w:rPr>
        <w:t xml:space="preserve"> Contractors are fully responsible for physically extending both existing 33 kV bus sections of the respective 300 MW Solar Block switchgear (Technical ... pp. 38, 41). Bidders must mount one </w:t>
      </w:r>
      <w:r w:rsidRPr="006C1075">
        <w:rPr>
          <w:rFonts w:ascii="Arial" w:eastAsia="Times New Roman" w:hAnsi="Arial" w:cs="Arial"/>
          <w:b/>
          <w:bCs/>
          <w:sz w:val="24"/>
          <w:szCs w:val="24"/>
          <w:lang w:eastAsia="en-IN"/>
        </w:rPr>
        <w:t>33 kV, 3150 A evacuation feeder</w:t>
      </w:r>
      <w:r w:rsidRPr="006C1075">
        <w:rPr>
          <w:rFonts w:ascii="Arial" w:eastAsia="Times New Roman" w:hAnsi="Arial" w:cs="Arial"/>
          <w:sz w:val="24"/>
          <w:szCs w:val="24"/>
          <w:lang w:eastAsia="en-IN"/>
        </w:rPr>
        <w:t xml:space="preserve"> per bus section (total 2 feeders per BESS block) (Technical ... pp. 38, 41).</w:t>
      </w:r>
    </w:p>
    <w:p w:rsidR="006C1075" w:rsidRPr="006C1075" w:rsidRDefault="006C1075" w:rsidP="006C1075">
      <w:pPr>
        <w:numPr>
          <w:ilvl w:val="0"/>
          <w:numId w:val="3"/>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Power Transformer Details:</w:t>
      </w:r>
      <w:r w:rsidRPr="006C1075">
        <w:rPr>
          <w:rFonts w:ascii="Arial" w:eastAsia="Times New Roman" w:hAnsi="Arial" w:cs="Arial"/>
          <w:sz w:val="24"/>
          <w:szCs w:val="24"/>
          <w:lang w:eastAsia="en-IN"/>
        </w:rPr>
        <w:t xml:space="preserve"> Each BESS block interfaces with </w:t>
      </w:r>
      <w:r w:rsidRPr="006C1075">
        <w:rPr>
          <w:rFonts w:ascii="Arial" w:eastAsia="Times New Roman" w:hAnsi="Arial" w:cs="Arial"/>
          <w:b/>
          <w:bCs/>
          <w:sz w:val="24"/>
          <w:szCs w:val="24"/>
          <w:lang w:eastAsia="en-IN"/>
        </w:rPr>
        <w:t>one 315 MVA, 400 kV / 33 kV / 33 kV</w:t>
      </w:r>
      <w:r w:rsidRPr="006C1075">
        <w:rPr>
          <w:rFonts w:ascii="Arial" w:eastAsia="Times New Roman" w:hAnsi="Arial" w:cs="Arial"/>
          <w:sz w:val="24"/>
          <w:szCs w:val="24"/>
          <w:lang w:eastAsia="en-IN"/>
        </w:rPr>
        <w:t xml:space="preserve"> three-winding transformer featuring OLTC ±10% (Technical ... p. 9).</w:t>
      </w:r>
    </w:p>
    <w:p w:rsidR="006C1075" w:rsidRPr="006C1075" w:rsidRDefault="006C1075" w:rsidP="006C1075">
      <w:pPr>
        <w:numPr>
          <w:ilvl w:val="0"/>
          <w:numId w:val="3"/>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lastRenderedPageBreak/>
        <w:t>Interconnection Point (POI):</w:t>
      </w:r>
      <w:r w:rsidRPr="006C1075">
        <w:rPr>
          <w:rFonts w:ascii="Arial" w:eastAsia="Times New Roman" w:hAnsi="Arial" w:cs="Arial"/>
          <w:sz w:val="24"/>
          <w:szCs w:val="24"/>
          <w:lang w:eastAsia="en-IN"/>
        </w:rPr>
        <w:t xml:space="preserve"> Final grid delivery point terminates at the </w:t>
      </w:r>
      <w:r w:rsidRPr="006C1075">
        <w:rPr>
          <w:rFonts w:ascii="Arial" w:eastAsia="Times New Roman" w:hAnsi="Arial" w:cs="Arial"/>
          <w:b/>
          <w:bCs/>
          <w:sz w:val="24"/>
          <w:szCs w:val="24"/>
          <w:lang w:eastAsia="en-IN"/>
        </w:rPr>
        <w:t>400 kV CTUIL Substation (KPS-3)</w:t>
      </w:r>
      <w:r w:rsidRPr="006C1075">
        <w:rPr>
          <w:rFonts w:ascii="Arial" w:eastAsia="Times New Roman" w:hAnsi="Arial" w:cs="Arial"/>
          <w:sz w:val="24"/>
          <w:szCs w:val="24"/>
          <w:lang w:eastAsia="en-IN"/>
        </w:rPr>
        <w:t xml:space="preserve"> via an existing 8 km twin AL-59 Moose transmission line (Technical ... p. 9).</w:t>
      </w:r>
    </w:p>
    <w:p w:rsidR="006C1075" w:rsidRPr="006C1075" w:rsidRDefault="006C1075" w:rsidP="006C1075">
      <w:pPr>
        <w:numPr>
          <w:ilvl w:val="0"/>
          <w:numId w:val="3"/>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Sizing Loss Overheads:</w:t>
      </w:r>
      <w:r w:rsidRPr="006C1075">
        <w:rPr>
          <w:rFonts w:ascii="Arial" w:eastAsia="Times New Roman" w:hAnsi="Arial" w:cs="Arial"/>
          <w:sz w:val="24"/>
          <w:szCs w:val="24"/>
          <w:lang w:eastAsia="en-IN"/>
        </w:rPr>
        <w:t xml:space="preserve"> Sizing metrics must explicitly compensate for downstream equipment losses between the POC and POI: </w:t>
      </w:r>
      <w:r w:rsidRPr="006C1075">
        <w:rPr>
          <w:rFonts w:ascii="Arial" w:eastAsia="Times New Roman" w:hAnsi="Arial" w:cs="Arial"/>
          <w:b/>
          <w:bCs/>
          <w:sz w:val="24"/>
          <w:szCs w:val="24"/>
          <w:lang w:eastAsia="en-IN"/>
        </w:rPr>
        <w:t>1.0% Power Transformer losses</w:t>
      </w:r>
      <w:r w:rsidRPr="006C1075">
        <w:rPr>
          <w:rFonts w:ascii="Arial" w:eastAsia="Times New Roman" w:hAnsi="Arial" w:cs="Arial"/>
          <w:sz w:val="24"/>
          <w:szCs w:val="24"/>
          <w:lang w:eastAsia="en-IN"/>
        </w:rPr>
        <w:t xml:space="preserve"> and </w:t>
      </w:r>
      <w:r w:rsidRPr="006C1075">
        <w:rPr>
          <w:rFonts w:ascii="Arial" w:eastAsia="Times New Roman" w:hAnsi="Arial" w:cs="Arial"/>
          <w:b/>
          <w:bCs/>
          <w:sz w:val="24"/>
          <w:szCs w:val="24"/>
          <w:lang w:eastAsia="en-IN"/>
        </w:rPr>
        <w:t>0.25% Transmission Line losses</w:t>
      </w:r>
      <w:r w:rsidRPr="006C1075">
        <w:rPr>
          <w:rFonts w:ascii="Arial" w:eastAsia="Times New Roman" w:hAnsi="Arial" w:cs="Arial"/>
          <w:sz w:val="24"/>
          <w:szCs w:val="24"/>
          <w:lang w:eastAsia="en-IN"/>
        </w:rPr>
        <w:t xml:space="preserve"> (Technical ... p. 40).</w:t>
      </w:r>
    </w:p>
    <w:p w:rsidR="006C1075" w:rsidRPr="006C1075" w:rsidRDefault="006C1075" w:rsidP="006C1075">
      <w:pPr>
        <w:numPr>
          <w:ilvl w:val="0"/>
          <w:numId w:val="3"/>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Auxiliary Power Sourcing:</w:t>
      </w:r>
      <w:r w:rsidRPr="006C1075">
        <w:rPr>
          <w:rFonts w:ascii="Arial" w:eastAsia="Times New Roman" w:hAnsi="Arial" w:cs="Arial"/>
          <w:sz w:val="24"/>
          <w:szCs w:val="24"/>
          <w:lang w:eastAsia="en-IN"/>
        </w:rPr>
        <w:t xml:space="preserve"> The entire BESS auxiliary supply framework must be tapped from metered 33 kV feeders on the BESS pooling switchgears built by the contractor (Technical ... p. 44). No external/additional pooling space or incoming feeders are provided inside the owner's switchgear (Technical ... pp. 42, 44).</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48" style="width:0;height:1.5pt" o:hralign="center" o:hrstd="t" o:hr="t" fillcolor="#a0a0a0" stroked="f"/>
        </w:pict>
      </w:r>
    </w:p>
    <w:p w:rsidR="006C1075" w:rsidRPr="006C1075" w:rsidRDefault="006C1075" w:rsidP="006C1075">
      <w:pPr>
        <w:spacing w:before="480" w:after="480" w:line="360" w:lineRule="auto"/>
        <w:ind w:left="-426"/>
        <w:jc w:val="both"/>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xml:space="preserve"> 4. Performance Guarantees &amp; Operational Window</w:t>
      </w:r>
    </w:p>
    <w:p w:rsidR="006C1075" w:rsidRPr="006C1075" w:rsidRDefault="006C1075" w:rsidP="006C1075">
      <w:pPr>
        <w:numPr>
          <w:ilvl w:val="0"/>
          <w:numId w:val="4"/>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Round-Trip Efficiency (RTE):</w:t>
      </w:r>
      <w:r w:rsidRPr="006C1075">
        <w:rPr>
          <w:rFonts w:ascii="Arial" w:eastAsia="Times New Roman" w:hAnsi="Arial" w:cs="Arial"/>
          <w:sz w:val="24"/>
          <w:szCs w:val="24"/>
          <w:lang w:eastAsia="en-IN"/>
        </w:rPr>
        <w:t xml:space="preserve"> Bidders must guarantee a minimum monthly </w:t>
      </w:r>
      <w:r w:rsidRPr="006C1075">
        <w:rPr>
          <w:rFonts w:ascii="Arial" w:eastAsia="Times New Roman" w:hAnsi="Arial" w:cs="Arial"/>
          <w:b/>
          <w:bCs/>
          <w:sz w:val="24"/>
          <w:szCs w:val="24"/>
          <w:lang w:eastAsia="en-IN"/>
        </w:rPr>
        <w:t>AC-to-AC Round-Trip Efficiency of 80%</w:t>
      </w:r>
      <w:r w:rsidRPr="006C1075">
        <w:rPr>
          <w:rFonts w:ascii="Arial" w:eastAsia="Times New Roman" w:hAnsi="Arial" w:cs="Arial"/>
          <w:sz w:val="24"/>
          <w:szCs w:val="24"/>
          <w:lang w:eastAsia="en-IN"/>
        </w:rPr>
        <w:t>, calculated at the POC and explicitly inclusive of all plant auxiliary consumption and standby losses (Technical ... pp. 22-23).</w:t>
      </w:r>
    </w:p>
    <w:p w:rsidR="006C1075" w:rsidRPr="006C1075" w:rsidRDefault="006C1075" w:rsidP="006C1075">
      <w:pPr>
        <w:numPr>
          <w:ilvl w:val="0"/>
          <w:numId w:val="4"/>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System Discharging Energy Availability:</w:t>
      </w:r>
      <w:r w:rsidRPr="006C1075">
        <w:rPr>
          <w:rFonts w:ascii="Arial" w:eastAsia="Times New Roman" w:hAnsi="Arial" w:cs="Arial"/>
          <w:sz w:val="24"/>
          <w:szCs w:val="24"/>
          <w:lang w:eastAsia="en-IN"/>
        </w:rPr>
        <w:t xml:space="preserve"> The asset must sustain a minimum of </w:t>
      </w:r>
      <w:r w:rsidRPr="006C1075">
        <w:rPr>
          <w:rFonts w:ascii="Arial" w:eastAsia="Times New Roman" w:hAnsi="Arial" w:cs="Arial"/>
          <w:b/>
          <w:bCs/>
          <w:sz w:val="24"/>
          <w:szCs w:val="24"/>
          <w:lang w:eastAsia="en-IN"/>
        </w:rPr>
        <w:t>98% annual energy availability during discharging windows</w:t>
      </w:r>
      <w:r w:rsidRPr="006C1075">
        <w:rPr>
          <w:rFonts w:ascii="Arial" w:eastAsia="Times New Roman" w:hAnsi="Arial" w:cs="Arial"/>
          <w:sz w:val="24"/>
          <w:szCs w:val="24"/>
          <w:lang w:eastAsia="en-IN"/>
        </w:rPr>
        <w:t xml:space="preserve"> over its complete operational life (Technical ... p. 24).</w:t>
      </w:r>
    </w:p>
    <w:p w:rsidR="006C1075" w:rsidRPr="006C1075" w:rsidRDefault="006C1075" w:rsidP="006C1075">
      <w:pPr>
        <w:numPr>
          <w:ilvl w:val="0"/>
          <w:numId w:val="4"/>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Daily Dispatchable Energy Thresholds (</w:t>
      </w:r>
      <w:proofErr w:type="spellStart"/>
      <w:r w:rsidRPr="006C1075">
        <w:rPr>
          <w:rFonts w:ascii="Arial" w:eastAsia="Times New Roman" w:hAnsi="Arial" w:cs="Arial"/>
          <w:b/>
          <w:bCs/>
          <w:sz w:val="24"/>
          <w:szCs w:val="24"/>
          <w:lang w:eastAsia="en-IN"/>
        </w:rPr>
        <w:t>MDn</w:t>
      </w:r>
      <w:proofErr w:type="spellEnd"/>
      <w:r w:rsidRPr="006C1075">
        <w:rPr>
          <w:rFonts w:ascii="Arial" w:eastAsia="Times New Roman" w:hAnsi="Arial" w:cs="Arial"/>
          <w:b/>
          <w:bCs/>
          <w:sz w:val="24"/>
          <w:szCs w:val="24"/>
          <w:lang w:eastAsia="en-IN"/>
        </w:rPr>
        <w:t>):</w:t>
      </w:r>
      <w:r w:rsidRPr="006C1075">
        <w:rPr>
          <w:rFonts w:ascii="Arial" w:eastAsia="Times New Roman" w:hAnsi="Arial" w:cs="Arial"/>
          <w:sz w:val="24"/>
          <w:szCs w:val="24"/>
          <w:lang w:eastAsia="en-IN"/>
        </w:rPr>
        <w:t xml:space="preserve"> Factoring in natural cell aging, the guaranteed dispatchable energy floor at the POI tracks as follows (Technical ... p. 23):</w:t>
      </w:r>
    </w:p>
    <w:p w:rsidR="006C1075" w:rsidRPr="006C1075" w:rsidRDefault="006C1075" w:rsidP="006C1075">
      <w:pPr>
        <w:numPr>
          <w:ilvl w:val="1"/>
          <w:numId w:val="4"/>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Year 1:</w:t>
      </w:r>
      <w:r w:rsidRPr="006C1075">
        <w:rPr>
          <w:rFonts w:ascii="Arial" w:eastAsia="Times New Roman" w:hAnsi="Arial" w:cs="Arial"/>
          <w:sz w:val="24"/>
          <w:szCs w:val="24"/>
          <w:lang w:eastAsia="en-IN"/>
        </w:rPr>
        <w:t xml:space="preserve"> </w:t>
      </w:r>
      <w:r w:rsidRPr="006C1075">
        <w:rPr>
          <w:rFonts w:ascii="Arial" w:eastAsia="Times New Roman" w:hAnsi="Arial" w:cs="Arial"/>
          <w:b/>
          <w:bCs/>
          <w:sz w:val="24"/>
          <w:szCs w:val="24"/>
          <w:lang w:eastAsia="en-IN"/>
        </w:rPr>
        <w:t>95%</w:t>
      </w:r>
      <w:r w:rsidRPr="006C1075">
        <w:rPr>
          <w:rFonts w:ascii="Arial" w:eastAsia="Times New Roman" w:hAnsi="Arial" w:cs="Arial"/>
          <w:sz w:val="24"/>
          <w:szCs w:val="24"/>
          <w:lang w:eastAsia="en-IN"/>
        </w:rPr>
        <w:t xml:space="preserve"> of the initially awarded capacity (Technical ... p. 23).</w:t>
      </w:r>
    </w:p>
    <w:p w:rsidR="006C1075" w:rsidRPr="006C1075" w:rsidRDefault="006C1075" w:rsidP="006C1075">
      <w:pPr>
        <w:numPr>
          <w:ilvl w:val="1"/>
          <w:numId w:val="4"/>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Years 2 through 15:</w:t>
      </w:r>
      <w:r w:rsidRPr="006C1075">
        <w:rPr>
          <w:rFonts w:ascii="Arial" w:eastAsia="Times New Roman" w:hAnsi="Arial" w:cs="Arial"/>
          <w:sz w:val="24"/>
          <w:szCs w:val="24"/>
          <w:lang w:eastAsia="en-IN"/>
        </w:rPr>
        <w:t xml:space="preserve"> </w:t>
      </w:r>
      <w:r w:rsidRPr="006C1075">
        <w:rPr>
          <w:rFonts w:ascii="Arial" w:eastAsia="Times New Roman" w:hAnsi="Arial" w:cs="Arial"/>
          <w:b/>
          <w:bCs/>
          <w:sz w:val="24"/>
          <w:szCs w:val="24"/>
          <w:lang w:eastAsia="en-IN"/>
        </w:rPr>
        <w:t>92%</w:t>
      </w:r>
      <w:r w:rsidRPr="006C1075">
        <w:rPr>
          <w:rFonts w:ascii="Arial" w:eastAsia="Times New Roman" w:hAnsi="Arial" w:cs="Arial"/>
          <w:sz w:val="24"/>
          <w:szCs w:val="24"/>
          <w:lang w:eastAsia="en-IN"/>
        </w:rPr>
        <w:t xml:space="preserve"> minimum guaranteed capacity (Technical ... p. 23).</w:t>
      </w:r>
    </w:p>
    <w:p w:rsidR="006C1075" w:rsidRPr="006C1075" w:rsidRDefault="006C1075" w:rsidP="006C1075">
      <w:pPr>
        <w:numPr>
          <w:ilvl w:val="1"/>
          <w:numId w:val="4"/>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Handover Gate:</w:t>
      </w:r>
      <w:r w:rsidRPr="006C1075">
        <w:rPr>
          <w:rFonts w:ascii="Arial" w:eastAsia="Times New Roman" w:hAnsi="Arial" w:cs="Arial"/>
          <w:sz w:val="24"/>
          <w:szCs w:val="24"/>
          <w:lang w:eastAsia="en-IN"/>
        </w:rPr>
        <w:t xml:space="preserve"> </w:t>
      </w:r>
      <w:r w:rsidRPr="006C1075">
        <w:rPr>
          <w:rFonts w:ascii="Arial" w:eastAsia="Times New Roman" w:hAnsi="Arial" w:cs="Arial"/>
          <w:b/>
          <w:bCs/>
          <w:sz w:val="24"/>
          <w:szCs w:val="24"/>
          <w:lang w:eastAsia="en-IN"/>
        </w:rPr>
        <w:t>92%</w:t>
      </w:r>
      <w:r w:rsidRPr="006C1075">
        <w:rPr>
          <w:rFonts w:ascii="Arial" w:eastAsia="Times New Roman" w:hAnsi="Arial" w:cs="Arial"/>
          <w:sz w:val="24"/>
          <w:szCs w:val="24"/>
          <w:lang w:eastAsia="en-IN"/>
        </w:rPr>
        <w:t xml:space="preserve"> deliverable capacity at the end of the 15-year O&amp;M phase (Technical ... pp. 23, 29).</w:t>
      </w:r>
    </w:p>
    <w:p w:rsidR="006C1075" w:rsidRPr="006C1075" w:rsidRDefault="006C1075" w:rsidP="006C1075">
      <w:pPr>
        <w:numPr>
          <w:ilvl w:val="0"/>
          <w:numId w:val="4"/>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 xml:space="preserve">Operational </w:t>
      </w:r>
      <w:proofErr w:type="spellStart"/>
      <w:r w:rsidRPr="006C1075">
        <w:rPr>
          <w:rFonts w:ascii="Arial" w:eastAsia="Times New Roman" w:hAnsi="Arial" w:cs="Arial"/>
          <w:b/>
          <w:bCs/>
          <w:sz w:val="24"/>
          <w:szCs w:val="24"/>
          <w:lang w:eastAsia="en-IN"/>
        </w:rPr>
        <w:t>Schedulability</w:t>
      </w:r>
      <w:proofErr w:type="spellEnd"/>
      <w:r w:rsidRPr="006C1075">
        <w:rPr>
          <w:rFonts w:ascii="Arial" w:eastAsia="Times New Roman" w:hAnsi="Arial" w:cs="Arial"/>
          <w:b/>
          <w:bCs/>
          <w:sz w:val="24"/>
          <w:szCs w:val="24"/>
          <w:lang w:eastAsia="en-IN"/>
        </w:rPr>
        <w:t xml:space="preserve"> Profile:</w:t>
      </w:r>
      <w:r w:rsidRPr="006C1075">
        <w:rPr>
          <w:rFonts w:ascii="Arial" w:eastAsia="Times New Roman" w:hAnsi="Arial" w:cs="Arial"/>
          <w:sz w:val="24"/>
          <w:szCs w:val="24"/>
          <w:lang w:eastAsia="en-IN"/>
        </w:rPr>
        <w:t xml:space="preserve"> Designed for </w:t>
      </w:r>
      <w:r w:rsidRPr="006C1075">
        <w:rPr>
          <w:rFonts w:ascii="Arial" w:eastAsia="Times New Roman" w:hAnsi="Arial" w:cs="Arial"/>
          <w:b/>
          <w:bCs/>
          <w:sz w:val="24"/>
          <w:szCs w:val="24"/>
          <w:lang w:eastAsia="en-IN"/>
        </w:rPr>
        <w:t>1 complete charge-discharge cycle per day</w:t>
      </w:r>
      <w:r w:rsidRPr="006C1075">
        <w:rPr>
          <w:rFonts w:ascii="Arial" w:eastAsia="Times New Roman" w:hAnsi="Arial" w:cs="Arial"/>
          <w:sz w:val="24"/>
          <w:szCs w:val="24"/>
          <w:lang w:eastAsia="en-IN"/>
        </w:rPr>
        <w:t xml:space="preserve"> (Technical ... p. 24). Owner can schedule full charging across a single or split stretch spanning up to 12 cumulative hours (Technical ... p. 26). Discharging can operate at full rated power for 2–4 hours or stretch across multiple sessions up to 8 cumulative hours at partial loads (Technical ... p. 26).</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lastRenderedPageBreak/>
        <w:pict>
          <v:rect id="_x0000_i1149" style="width:0;height:1.5pt" o:hralign="center" o:hrstd="t" o:hr="t" fillcolor="#a0a0a0" stroked="f"/>
        </w:pict>
      </w:r>
    </w:p>
    <w:p w:rsidR="006C1075" w:rsidRPr="006C1075" w:rsidRDefault="006C1075" w:rsidP="006C1075">
      <w:pPr>
        <w:spacing w:before="480" w:after="480" w:line="360" w:lineRule="auto"/>
        <w:ind w:left="-426"/>
        <w:jc w:val="both"/>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xml:space="preserve"> 5. Liquidated Damages (LD) During O&amp;M</w:t>
      </w:r>
    </w:p>
    <w:p w:rsidR="006C1075" w:rsidRPr="006C1075" w:rsidRDefault="006C1075" w:rsidP="006C1075">
      <w:pPr>
        <w:numPr>
          <w:ilvl w:val="0"/>
          <w:numId w:val="5"/>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RTE Underperformance Penalty:</w:t>
      </w:r>
      <w:r w:rsidRPr="006C1075">
        <w:rPr>
          <w:rFonts w:ascii="Arial" w:eastAsia="Times New Roman" w:hAnsi="Arial" w:cs="Arial"/>
          <w:sz w:val="24"/>
          <w:szCs w:val="24"/>
          <w:lang w:eastAsia="en-IN"/>
        </w:rPr>
        <w:t xml:space="preserve"> If the monthly measured AC-to-AC efficiency falls under the 80% specified target, the contractor faces penalties for excess charging energy calculated as (Technical ... p. 28):</w:t>
      </w:r>
      <w:r w:rsidRPr="006C1075">
        <w:rPr>
          <w:rFonts w:ascii="Arial" w:eastAsia="Times New Roman" w:hAnsi="Arial" w:cs="Arial"/>
          <w:sz w:val="24"/>
          <w:szCs w:val="24"/>
          <w:lang w:eastAsia="en-IN"/>
        </w:rPr>
        <w:br/>
        <w:t>\(\text{LD}_{\eta \text{Loss}}(\text{INR})=I\times C\times \left(\frac{1}{\eta _{\text{</w:t>
      </w:r>
      <w:proofErr w:type="spellStart"/>
      <w:r w:rsidRPr="006C1075">
        <w:rPr>
          <w:rFonts w:ascii="Arial" w:eastAsia="Times New Roman" w:hAnsi="Arial" w:cs="Arial"/>
          <w:sz w:val="24"/>
          <w:szCs w:val="24"/>
          <w:lang w:eastAsia="en-IN"/>
        </w:rPr>
        <w:t>meas</w:t>
      </w:r>
      <w:proofErr w:type="spellEnd"/>
      <w:r w:rsidRPr="006C1075">
        <w:rPr>
          <w:rFonts w:ascii="Arial" w:eastAsia="Times New Roman" w:hAnsi="Arial" w:cs="Arial"/>
          <w:sz w:val="24"/>
          <w:szCs w:val="24"/>
          <w:lang w:eastAsia="en-IN"/>
        </w:rPr>
        <w:t>}}}-\frac{1}{0.80}\right)\times 10^{6}\)</w:t>
      </w:r>
      <w:r w:rsidRPr="006C1075">
        <w:rPr>
          <w:rFonts w:ascii="Arial" w:eastAsia="Times New Roman" w:hAnsi="Arial" w:cs="Arial"/>
          <w:sz w:val="24"/>
          <w:szCs w:val="24"/>
          <w:lang w:eastAsia="en-IN"/>
        </w:rPr>
        <w:br/>
      </w:r>
      <w:r w:rsidRPr="006C1075">
        <w:rPr>
          <w:rFonts w:ascii="Arial" w:eastAsia="Times New Roman" w:hAnsi="Arial" w:cs="Arial"/>
          <w:i/>
          <w:iCs/>
          <w:sz w:val="24"/>
          <w:szCs w:val="24"/>
          <w:lang w:eastAsia="en-IN"/>
        </w:rPr>
        <w:t>(Where C is the total monthly actual discharging MUs at the POC, \(\eta _{\text{</w:t>
      </w:r>
      <w:proofErr w:type="spellStart"/>
      <w:r w:rsidRPr="006C1075">
        <w:rPr>
          <w:rFonts w:ascii="Arial" w:eastAsia="Times New Roman" w:hAnsi="Arial" w:cs="Arial"/>
          <w:i/>
          <w:iCs/>
          <w:sz w:val="24"/>
          <w:szCs w:val="24"/>
          <w:lang w:eastAsia="en-IN"/>
        </w:rPr>
        <w:t>meas</w:t>
      </w:r>
      <w:proofErr w:type="spellEnd"/>
      <w:r w:rsidRPr="006C1075">
        <w:rPr>
          <w:rFonts w:ascii="Arial" w:eastAsia="Times New Roman" w:hAnsi="Arial" w:cs="Arial"/>
          <w:i/>
          <w:iCs/>
          <w:sz w:val="24"/>
          <w:szCs w:val="24"/>
          <w:lang w:eastAsia="en-IN"/>
        </w:rPr>
        <w:t xml:space="preserve">}}\) is the achieved monthly efficiency, and I is the fixed charging energy valuation set at </w:t>
      </w:r>
      <w:r w:rsidRPr="006C1075">
        <w:rPr>
          <w:rFonts w:ascii="Arial" w:eastAsia="Times New Roman" w:hAnsi="Arial" w:cs="Arial"/>
          <w:b/>
          <w:bCs/>
          <w:i/>
          <w:iCs/>
          <w:sz w:val="24"/>
          <w:szCs w:val="24"/>
          <w:lang w:eastAsia="en-IN"/>
        </w:rPr>
        <w:t>₹3.1 / kWh</w:t>
      </w:r>
      <w:r w:rsidRPr="006C1075">
        <w:rPr>
          <w:rFonts w:ascii="Arial" w:eastAsia="Times New Roman" w:hAnsi="Arial" w:cs="Arial"/>
          <w:i/>
          <w:iCs/>
          <w:sz w:val="24"/>
          <w:szCs w:val="24"/>
          <w:lang w:eastAsia="en-IN"/>
        </w:rPr>
        <w:t>).</w:t>
      </w:r>
      <w:r w:rsidRPr="006C1075">
        <w:rPr>
          <w:rFonts w:ascii="Arial" w:eastAsia="Times New Roman" w:hAnsi="Arial" w:cs="Arial"/>
          <w:sz w:val="24"/>
          <w:szCs w:val="24"/>
          <w:lang w:eastAsia="en-IN"/>
        </w:rPr>
        <w:t xml:space="preserve"> (Technical ... pp. 22, 28)</w:t>
      </w:r>
    </w:p>
    <w:p w:rsidR="006C1075" w:rsidRPr="006C1075" w:rsidRDefault="006C1075" w:rsidP="006C1075">
      <w:pPr>
        <w:numPr>
          <w:ilvl w:val="0"/>
          <w:numId w:val="5"/>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Discharging Availability Shortfall Penalty:</w:t>
      </w:r>
      <w:r w:rsidRPr="006C1075">
        <w:rPr>
          <w:rFonts w:ascii="Arial" w:eastAsia="Times New Roman" w:hAnsi="Arial" w:cs="Arial"/>
          <w:sz w:val="24"/>
          <w:szCs w:val="24"/>
          <w:lang w:eastAsia="en-IN"/>
        </w:rPr>
        <w:t xml:space="preserve"> Falling below the 98% annual discharging availability gateway incurs liquidated damages calculated as (Technical ... pp. 28-29):</w:t>
      </w:r>
      <w:r w:rsidRPr="006C1075">
        <w:rPr>
          <w:rFonts w:ascii="Arial" w:eastAsia="Times New Roman" w:hAnsi="Arial" w:cs="Arial"/>
          <w:sz w:val="24"/>
          <w:szCs w:val="24"/>
          <w:lang w:eastAsia="en-IN"/>
        </w:rPr>
        <w:br/>
        <w:t>\(\text{Liquidated\ Damages\ (INR)}=(0.98-Y^{\prime })\times B^{\prime }\times 1.25\times T\times 10^{6}\)</w:t>
      </w:r>
      <w:r w:rsidRPr="006C1075">
        <w:rPr>
          <w:rFonts w:ascii="Arial" w:eastAsia="Times New Roman" w:hAnsi="Arial" w:cs="Arial"/>
          <w:sz w:val="24"/>
          <w:szCs w:val="24"/>
          <w:lang w:eastAsia="en-IN"/>
        </w:rPr>
        <w:br/>
      </w:r>
      <w:r w:rsidRPr="006C1075">
        <w:rPr>
          <w:rFonts w:ascii="Arial" w:eastAsia="Times New Roman" w:hAnsi="Arial" w:cs="Arial"/>
          <w:i/>
          <w:iCs/>
          <w:sz w:val="24"/>
          <w:szCs w:val="24"/>
          <w:lang w:eastAsia="en-IN"/>
        </w:rPr>
        <w:t xml:space="preserve">(Where Y' is the actual annual system availability during discharge, B' is the scheduled discharge energy for that specific year in MUs, and T is the fixed real-time market price ceiling set at </w:t>
      </w:r>
      <w:r w:rsidRPr="006C1075">
        <w:rPr>
          <w:rFonts w:ascii="Arial" w:eastAsia="Times New Roman" w:hAnsi="Arial" w:cs="Arial"/>
          <w:b/>
          <w:bCs/>
          <w:i/>
          <w:iCs/>
          <w:sz w:val="24"/>
          <w:szCs w:val="24"/>
          <w:lang w:eastAsia="en-IN"/>
        </w:rPr>
        <w:t>₹10 / kWh</w:t>
      </w:r>
      <w:r w:rsidRPr="006C1075">
        <w:rPr>
          <w:rFonts w:ascii="Arial" w:eastAsia="Times New Roman" w:hAnsi="Arial" w:cs="Arial"/>
          <w:i/>
          <w:iCs/>
          <w:sz w:val="24"/>
          <w:szCs w:val="24"/>
          <w:lang w:eastAsia="en-IN"/>
        </w:rPr>
        <w:t xml:space="preserve"> for the entire contract lifespan).</w:t>
      </w:r>
      <w:r w:rsidRPr="006C1075">
        <w:rPr>
          <w:rFonts w:ascii="Arial" w:eastAsia="Times New Roman" w:hAnsi="Arial" w:cs="Arial"/>
          <w:sz w:val="24"/>
          <w:szCs w:val="24"/>
          <w:lang w:eastAsia="en-IN"/>
        </w:rPr>
        <w:t xml:space="preserve"> (Technical ... p. 29)</w:t>
      </w:r>
    </w:p>
    <w:p w:rsidR="006C1075" w:rsidRPr="006C1075" w:rsidRDefault="006C1075" w:rsidP="006C1075">
      <w:pPr>
        <w:numPr>
          <w:ilvl w:val="0"/>
          <w:numId w:val="5"/>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End-of-Life Handover Capacity Penalty:</w:t>
      </w:r>
      <w:r w:rsidRPr="006C1075">
        <w:rPr>
          <w:rFonts w:ascii="Arial" w:eastAsia="Times New Roman" w:hAnsi="Arial" w:cs="Arial"/>
          <w:sz w:val="24"/>
          <w:szCs w:val="24"/>
          <w:lang w:eastAsia="en-IN"/>
        </w:rPr>
        <w:t xml:space="preserve"> Failure to demonstrate the mandatory 92% capacity retention at the 15-year handover threshold triggers a long-range penalty scaled for a 5-year outlook (Technical ... p. 29):</w:t>
      </w:r>
      <w:r w:rsidRPr="006C1075">
        <w:rPr>
          <w:rFonts w:ascii="Arial" w:eastAsia="Times New Roman" w:hAnsi="Arial" w:cs="Arial"/>
          <w:sz w:val="24"/>
          <w:szCs w:val="24"/>
          <w:lang w:eastAsia="en-IN"/>
        </w:rPr>
        <w:br/>
        <w:t>\(\text{Liquidated\ Damages\ (INR)}=(0.92-Y^{\prime \prime })\times 1.25\times T\times P\times 365\times 1000\times 5\)</w:t>
      </w:r>
      <w:r w:rsidRPr="006C1075">
        <w:rPr>
          <w:rFonts w:ascii="Arial" w:eastAsia="Times New Roman" w:hAnsi="Arial" w:cs="Arial"/>
          <w:sz w:val="24"/>
          <w:szCs w:val="24"/>
          <w:lang w:eastAsia="en-IN"/>
        </w:rPr>
        <w:br/>
      </w:r>
      <w:r w:rsidRPr="006C1075">
        <w:rPr>
          <w:rFonts w:ascii="Arial" w:eastAsia="Times New Roman" w:hAnsi="Arial" w:cs="Arial"/>
          <w:i/>
          <w:iCs/>
          <w:sz w:val="24"/>
          <w:szCs w:val="24"/>
          <w:lang w:eastAsia="en-IN"/>
        </w:rPr>
        <w:t>(Where Y'' is the actual verified percentage handover capacity, T = ₹10/kWh, and P is the designated project block capacity in MW).</w:t>
      </w:r>
      <w:r w:rsidRPr="006C1075">
        <w:rPr>
          <w:rFonts w:ascii="Arial" w:eastAsia="Times New Roman" w:hAnsi="Arial" w:cs="Arial"/>
          <w:sz w:val="24"/>
          <w:szCs w:val="24"/>
          <w:lang w:eastAsia="en-IN"/>
        </w:rPr>
        <w:t xml:space="preserve"> (Technical ... pp. 29-30)</w:t>
      </w:r>
    </w:p>
    <w:p w:rsidR="006C1075" w:rsidRPr="006C1075" w:rsidRDefault="006C1075" w:rsidP="006C1075">
      <w:pPr>
        <w:numPr>
          <w:ilvl w:val="0"/>
          <w:numId w:val="5"/>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LD Financial Recovery Caps:</w:t>
      </w:r>
      <w:r w:rsidRPr="006C1075">
        <w:rPr>
          <w:rFonts w:ascii="Arial" w:eastAsia="Times New Roman" w:hAnsi="Arial" w:cs="Arial"/>
          <w:sz w:val="24"/>
          <w:szCs w:val="24"/>
          <w:lang w:eastAsia="en-IN"/>
        </w:rPr>
        <w:t xml:space="preserve"> O&amp;M phase performance damages are deducted in the 4th quarter from the periodic O&amp;M bills, </w:t>
      </w:r>
      <w:r w:rsidRPr="006C1075">
        <w:rPr>
          <w:rFonts w:ascii="Arial" w:eastAsia="Times New Roman" w:hAnsi="Arial" w:cs="Arial"/>
          <w:b/>
          <w:bCs/>
          <w:sz w:val="24"/>
          <w:szCs w:val="24"/>
          <w:lang w:eastAsia="en-IN"/>
        </w:rPr>
        <w:t>capped strictly at a maximum of 25% of the Annual O&amp;M Contract Value</w:t>
      </w:r>
      <w:r w:rsidRPr="006C1075">
        <w:rPr>
          <w:rFonts w:ascii="Arial" w:eastAsia="Times New Roman" w:hAnsi="Arial" w:cs="Arial"/>
          <w:sz w:val="24"/>
          <w:szCs w:val="24"/>
          <w:lang w:eastAsia="en-IN"/>
        </w:rPr>
        <w:t xml:space="preserve"> (Technical ... p. 30). Overages beyond this boundary are recovered by encashing lifecycle bank guarantees, which the contractor must replenish within three months (Technical ... p. 30).</w:t>
      </w:r>
    </w:p>
    <w:p w:rsidR="006C1075" w:rsidRPr="006C1075" w:rsidRDefault="006C1075" w:rsidP="006C1075">
      <w:pPr>
        <w:numPr>
          <w:ilvl w:val="0"/>
          <w:numId w:val="5"/>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Absolute Asset Rejection Boundary:</w:t>
      </w:r>
      <w:r w:rsidRPr="006C1075">
        <w:rPr>
          <w:rFonts w:ascii="Arial" w:eastAsia="Times New Roman" w:hAnsi="Arial" w:cs="Arial"/>
          <w:sz w:val="24"/>
          <w:szCs w:val="24"/>
          <w:lang w:eastAsia="en-IN"/>
        </w:rPr>
        <w:t xml:space="preserve"> If the BESS fails to meet a baseline </w:t>
      </w:r>
      <w:r w:rsidRPr="006C1075">
        <w:rPr>
          <w:rFonts w:ascii="Arial" w:eastAsia="Times New Roman" w:hAnsi="Arial" w:cs="Arial"/>
          <w:b/>
          <w:bCs/>
          <w:sz w:val="24"/>
          <w:szCs w:val="24"/>
          <w:lang w:eastAsia="en-IN"/>
        </w:rPr>
        <w:t>50% of its stipulated availability</w:t>
      </w:r>
      <w:r w:rsidRPr="006C1075">
        <w:rPr>
          <w:rFonts w:ascii="Arial" w:eastAsia="Times New Roman" w:hAnsi="Arial" w:cs="Arial"/>
          <w:sz w:val="24"/>
          <w:szCs w:val="24"/>
          <w:lang w:eastAsia="en-IN"/>
        </w:rPr>
        <w:t xml:space="preserve"> during an O&amp;M year for a cumulative period of 2 years or more, the entire BESS asset is liable for </w:t>
      </w:r>
      <w:r w:rsidRPr="006C1075">
        <w:rPr>
          <w:rFonts w:ascii="Arial" w:eastAsia="Times New Roman" w:hAnsi="Arial" w:cs="Arial"/>
          <w:b/>
          <w:bCs/>
          <w:sz w:val="24"/>
          <w:szCs w:val="24"/>
          <w:lang w:eastAsia="en-IN"/>
        </w:rPr>
        <w:t>rejection</w:t>
      </w:r>
      <w:r w:rsidRPr="006C1075">
        <w:rPr>
          <w:rFonts w:ascii="Arial" w:eastAsia="Times New Roman" w:hAnsi="Arial" w:cs="Arial"/>
          <w:sz w:val="24"/>
          <w:szCs w:val="24"/>
          <w:lang w:eastAsia="en-IN"/>
        </w:rPr>
        <w:t xml:space="preserve"> under GCC guidelines (Technical ... p. 30).</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lastRenderedPageBreak/>
        <w:pict>
          <v:rect id="_x0000_i1150" style="width:0;height:1.5pt" o:hralign="center" o:hrstd="t" o:hr="t" fillcolor="#a0a0a0" stroked="f"/>
        </w:pict>
      </w:r>
    </w:p>
    <w:p w:rsidR="006C1075" w:rsidRPr="006C1075" w:rsidRDefault="006C1075" w:rsidP="006C1075">
      <w:pPr>
        <w:spacing w:before="480" w:after="480" w:line="360" w:lineRule="auto"/>
        <w:ind w:left="-426"/>
        <w:jc w:val="both"/>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xml:space="preserve"> 6. Securities &amp; Life Cycle Bank Guarantee (LCBG)</w:t>
      </w:r>
    </w:p>
    <w:p w:rsidR="006C1075" w:rsidRPr="006C1075" w:rsidRDefault="006C1075" w:rsidP="006C1075">
      <w:pPr>
        <w:numPr>
          <w:ilvl w:val="0"/>
          <w:numId w:val="6"/>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O&amp;M Phase Security Transition:</w:t>
      </w:r>
      <w:r w:rsidRPr="006C1075">
        <w:rPr>
          <w:rFonts w:ascii="Arial" w:eastAsia="Times New Roman" w:hAnsi="Arial" w:cs="Arial"/>
          <w:sz w:val="24"/>
          <w:szCs w:val="24"/>
          <w:lang w:eastAsia="en-IN"/>
        </w:rPr>
        <w:t xml:space="preserve"> While a standard Construction Performance Bank Guarantee (CPBG) operates until the end of the defect liability phase, contractors must transition to a dedicated </w:t>
      </w:r>
      <w:r w:rsidRPr="006C1075">
        <w:rPr>
          <w:rFonts w:ascii="Arial" w:eastAsia="Times New Roman" w:hAnsi="Arial" w:cs="Arial"/>
          <w:b/>
          <w:bCs/>
          <w:sz w:val="24"/>
          <w:szCs w:val="24"/>
          <w:lang w:eastAsia="en-IN"/>
        </w:rPr>
        <w:t>Life Cycle Equipment Performance Bank Guarantee (LCBG)</w:t>
      </w:r>
      <w:r w:rsidRPr="006C1075">
        <w:rPr>
          <w:rFonts w:ascii="Arial" w:eastAsia="Times New Roman" w:hAnsi="Arial" w:cs="Arial"/>
          <w:sz w:val="24"/>
          <w:szCs w:val="24"/>
          <w:lang w:eastAsia="en-IN"/>
        </w:rPr>
        <w:t xml:space="preserve"> prior to CPBG release (Technical ... p. 32).</w:t>
      </w:r>
    </w:p>
    <w:p w:rsidR="006C1075" w:rsidRPr="006C1075" w:rsidRDefault="006C1075" w:rsidP="006C1075">
      <w:pPr>
        <w:numPr>
          <w:ilvl w:val="0"/>
          <w:numId w:val="6"/>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LCBG Quantum:</w:t>
      </w:r>
      <w:r w:rsidRPr="006C1075">
        <w:rPr>
          <w:rFonts w:ascii="Arial" w:eastAsia="Times New Roman" w:hAnsi="Arial" w:cs="Arial"/>
          <w:sz w:val="24"/>
          <w:szCs w:val="24"/>
          <w:lang w:eastAsia="en-IN"/>
        </w:rPr>
        <w:t xml:space="preserve"> Valued at </w:t>
      </w:r>
      <w:r w:rsidRPr="006C1075">
        <w:rPr>
          <w:rFonts w:ascii="Arial" w:eastAsia="Times New Roman" w:hAnsi="Arial" w:cs="Arial"/>
          <w:b/>
          <w:bCs/>
          <w:sz w:val="24"/>
          <w:szCs w:val="24"/>
          <w:lang w:eastAsia="en-IN"/>
        </w:rPr>
        <w:t>8% of the main equipment cost</w:t>
      </w:r>
      <w:r w:rsidRPr="006C1075">
        <w:rPr>
          <w:rFonts w:ascii="Arial" w:eastAsia="Times New Roman" w:hAnsi="Arial" w:cs="Arial"/>
          <w:sz w:val="24"/>
          <w:szCs w:val="24"/>
          <w:lang w:eastAsia="en-IN"/>
        </w:rPr>
        <w:t xml:space="preserve"> (defined as the total contract price excluding O&amp;M and Augmentation overheads) (Technical ... p. 32).</w:t>
      </w:r>
    </w:p>
    <w:p w:rsidR="006C1075" w:rsidRPr="006C1075" w:rsidRDefault="006C1075" w:rsidP="006C1075">
      <w:pPr>
        <w:numPr>
          <w:ilvl w:val="0"/>
          <w:numId w:val="6"/>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Phased Release Modality:</w:t>
      </w:r>
      <w:r w:rsidRPr="006C1075">
        <w:rPr>
          <w:rFonts w:ascii="Arial" w:eastAsia="Times New Roman" w:hAnsi="Arial" w:cs="Arial"/>
          <w:sz w:val="24"/>
          <w:szCs w:val="24"/>
          <w:lang w:eastAsia="en-IN"/>
        </w:rPr>
        <w:t xml:space="preserve"> To ensure long-range accountability, the LCBG features a milestone relaxation cycle (Technical ... p. 33):</w:t>
      </w:r>
    </w:p>
    <w:p w:rsidR="006C1075" w:rsidRPr="006C1075" w:rsidRDefault="006C1075" w:rsidP="006C1075">
      <w:pPr>
        <w:numPr>
          <w:ilvl w:val="1"/>
          <w:numId w:val="6"/>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Initial Submission:</w:t>
      </w:r>
      <w:r w:rsidRPr="006C1075">
        <w:rPr>
          <w:rFonts w:ascii="Arial" w:eastAsia="Times New Roman" w:hAnsi="Arial" w:cs="Arial"/>
          <w:sz w:val="24"/>
          <w:szCs w:val="24"/>
          <w:lang w:eastAsia="en-IN"/>
        </w:rPr>
        <w:t xml:space="preserve"> 8% value filed post-successful PG test completion (Technical ... pp. 32-33).</w:t>
      </w:r>
    </w:p>
    <w:p w:rsidR="006C1075" w:rsidRPr="006C1075" w:rsidRDefault="006C1075" w:rsidP="006C1075">
      <w:pPr>
        <w:numPr>
          <w:ilvl w:val="1"/>
          <w:numId w:val="6"/>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Progressive Release:</w:t>
      </w:r>
      <w:r w:rsidRPr="006C1075">
        <w:rPr>
          <w:rFonts w:ascii="Arial" w:eastAsia="Times New Roman" w:hAnsi="Arial" w:cs="Arial"/>
          <w:sz w:val="24"/>
          <w:szCs w:val="24"/>
          <w:lang w:eastAsia="en-IN"/>
        </w:rPr>
        <w:t xml:space="preserve"> </w:t>
      </w:r>
      <w:r w:rsidRPr="006C1075">
        <w:rPr>
          <w:rFonts w:ascii="Arial" w:eastAsia="Times New Roman" w:hAnsi="Arial" w:cs="Arial"/>
          <w:b/>
          <w:bCs/>
          <w:sz w:val="24"/>
          <w:szCs w:val="24"/>
          <w:lang w:eastAsia="en-IN"/>
        </w:rPr>
        <w:t>Each year from the 2nd year onwards, 4% of the LCBG value is released</w:t>
      </w:r>
      <w:r w:rsidRPr="006C1075">
        <w:rPr>
          <w:rFonts w:ascii="Arial" w:eastAsia="Times New Roman" w:hAnsi="Arial" w:cs="Arial"/>
          <w:sz w:val="24"/>
          <w:szCs w:val="24"/>
          <w:lang w:eastAsia="en-IN"/>
        </w:rPr>
        <w:t xml:space="preserve"> following successful compliance and performance parameters at the end of each operating year (Technical ... p. 33).</w:t>
      </w:r>
    </w:p>
    <w:p w:rsidR="006C1075" w:rsidRPr="006C1075" w:rsidRDefault="006C1075" w:rsidP="006C1075">
      <w:pPr>
        <w:numPr>
          <w:ilvl w:val="1"/>
          <w:numId w:val="6"/>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Final Release:</w:t>
      </w:r>
      <w:r w:rsidRPr="006C1075">
        <w:rPr>
          <w:rFonts w:ascii="Arial" w:eastAsia="Times New Roman" w:hAnsi="Arial" w:cs="Arial"/>
          <w:sz w:val="24"/>
          <w:szCs w:val="24"/>
          <w:lang w:eastAsia="en-IN"/>
        </w:rPr>
        <w:t xml:space="preserve"> Leftover remaining security balance is fully wound down at the end of the 15th project year following final handover clearance (Technical ... p. 33).</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51" style="width:0;height:1.5pt" o:hralign="center" o:hrstd="t" o:hr="t" fillcolor="#a0a0a0" stroked="f"/>
        </w:pict>
      </w:r>
    </w:p>
    <w:p w:rsidR="006C1075" w:rsidRPr="006C1075" w:rsidRDefault="006C1075" w:rsidP="006C1075">
      <w:pPr>
        <w:spacing w:before="480" w:after="480" w:line="360" w:lineRule="auto"/>
        <w:ind w:left="-426"/>
        <w:jc w:val="both"/>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xml:space="preserve"> 7. Grid Compliance &amp; Simulation Criteria (Appendix-5)</w:t>
      </w:r>
    </w:p>
    <w:p w:rsidR="006C1075" w:rsidRPr="006C1075" w:rsidRDefault="006C1075" w:rsidP="006C1075">
      <w:pPr>
        <w:numPr>
          <w:ilvl w:val="0"/>
          <w:numId w:val="7"/>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Model Submission Schedule:</w:t>
      </w:r>
      <w:r w:rsidRPr="006C1075">
        <w:rPr>
          <w:rFonts w:ascii="Arial" w:eastAsia="Times New Roman" w:hAnsi="Arial" w:cs="Arial"/>
          <w:sz w:val="24"/>
          <w:szCs w:val="24"/>
          <w:lang w:eastAsia="en-IN"/>
        </w:rPr>
        <w:t xml:space="preserve"> Contractors must submit comprehensive </w:t>
      </w:r>
      <w:r w:rsidRPr="006C1075">
        <w:rPr>
          <w:rFonts w:ascii="Arial" w:eastAsia="Times New Roman" w:hAnsi="Arial" w:cs="Arial"/>
          <w:b/>
          <w:bCs/>
          <w:sz w:val="24"/>
          <w:szCs w:val="24"/>
          <w:lang w:eastAsia="en-IN"/>
        </w:rPr>
        <w:t>PSS/E (RMS level) and PSCAD (EMT level) simulation models</w:t>
      </w:r>
      <w:r w:rsidRPr="006C1075">
        <w:rPr>
          <w:rFonts w:ascii="Arial" w:eastAsia="Times New Roman" w:hAnsi="Arial" w:cs="Arial"/>
          <w:sz w:val="24"/>
          <w:szCs w:val="24"/>
          <w:lang w:eastAsia="en-IN"/>
        </w:rPr>
        <w:t xml:space="preserve"> along with a benchmarking report </w:t>
      </w:r>
      <w:r w:rsidRPr="006C1075">
        <w:rPr>
          <w:rFonts w:ascii="Arial" w:eastAsia="Times New Roman" w:hAnsi="Arial" w:cs="Arial"/>
          <w:b/>
          <w:bCs/>
          <w:sz w:val="24"/>
          <w:szCs w:val="24"/>
          <w:lang w:eastAsia="en-IN"/>
        </w:rPr>
        <w:t>at least 12 months prior</w:t>
      </w:r>
      <w:r w:rsidRPr="006C1075">
        <w:rPr>
          <w:rFonts w:ascii="Arial" w:eastAsia="Times New Roman" w:hAnsi="Arial" w:cs="Arial"/>
          <w:sz w:val="24"/>
          <w:szCs w:val="24"/>
          <w:lang w:eastAsia="en-IN"/>
        </w:rPr>
        <w:t xml:space="preserve"> to the project's scheduled commissioning date (Technical ... pp. 13-14). Final validated models reflecting actual field tests must be updated within </w:t>
      </w:r>
      <w:proofErr w:type="gramStart"/>
      <w:r w:rsidRPr="006C1075">
        <w:rPr>
          <w:rFonts w:ascii="Arial" w:eastAsia="Times New Roman" w:hAnsi="Arial" w:cs="Arial"/>
          <w:sz w:val="24"/>
          <w:szCs w:val="24"/>
          <w:lang w:eastAsia="en-IN"/>
        </w:rPr>
        <w:t>1 month</w:t>
      </w:r>
      <w:proofErr w:type="gramEnd"/>
      <w:r w:rsidRPr="006C1075">
        <w:rPr>
          <w:rFonts w:ascii="Arial" w:eastAsia="Times New Roman" w:hAnsi="Arial" w:cs="Arial"/>
          <w:sz w:val="24"/>
          <w:szCs w:val="24"/>
          <w:lang w:eastAsia="en-IN"/>
        </w:rPr>
        <w:t xml:space="preserve"> post-COD (Technical ... p. 15).</w:t>
      </w:r>
    </w:p>
    <w:p w:rsidR="006C1075" w:rsidRPr="006C1075" w:rsidRDefault="006C1075" w:rsidP="006C1075">
      <w:pPr>
        <w:numPr>
          <w:ilvl w:val="0"/>
          <w:numId w:val="7"/>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Mathematical Error Tolerances:</w:t>
      </w:r>
      <w:r w:rsidRPr="006C1075">
        <w:rPr>
          <w:rFonts w:ascii="Arial" w:eastAsia="Times New Roman" w:hAnsi="Arial" w:cs="Arial"/>
          <w:sz w:val="24"/>
          <w:szCs w:val="24"/>
          <w:lang w:eastAsia="en-IN"/>
        </w:rPr>
        <w:t xml:space="preserve"> The deviation and error window between simulated model outputs and actual physical field test measurements during grid benchmarking exercises </w:t>
      </w:r>
      <w:r w:rsidRPr="006C1075">
        <w:rPr>
          <w:rFonts w:ascii="Arial" w:eastAsia="Times New Roman" w:hAnsi="Arial" w:cs="Arial"/>
          <w:b/>
          <w:bCs/>
          <w:sz w:val="24"/>
          <w:szCs w:val="24"/>
          <w:lang w:eastAsia="en-IN"/>
        </w:rPr>
        <w:t>cannot exceed a maximum of 5%</w:t>
      </w:r>
      <w:r w:rsidRPr="006C1075">
        <w:rPr>
          <w:rFonts w:ascii="Arial" w:eastAsia="Times New Roman" w:hAnsi="Arial" w:cs="Arial"/>
          <w:sz w:val="24"/>
          <w:szCs w:val="24"/>
          <w:lang w:eastAsia="en-IN"/>
        </w:rPr>
        <w:t xml:space="preserve"> (Technical ... p. 37).</w:t>
      </w:r>
    </w:p>
    <w:p w:rsidR="006C1075" w:rsidRPr="006C1075" w:rsidRDefault="006C1075" w:rsidP="006C1075">
      <w:pPr>
        <w:numPr>
          <w:ilvl w:val="0"/>
          <w:numId w:val="7"/>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lastRenderedPageBreak/>
        <w:t>Model Initialisation &amp; Step Sizing:</w:t>
      </w:r>
      <w:r w:rsidRPr="006C1075">
        <w:rPr>
          <w:rFonts w:ascii="Arial" w:eastAsia="Times New Roman" w:hAnsi="Arial" w:cs="Arial"/>
          <w:sz w:val="24"/>
          <w:szCs w:val="24"/>
          <w:lang w:eastAsia="en-IN"/>
        </w:rPr>
        <w:t xml:space="preserve"> EMT models built in PSCAD must fully initialize within </w:t>
      </w:r>
      <w:r w:rsidRPr="006C1075">
        <w:rPr>
          <w:rFonts w:ascii="Arial" w:eastAsia="Times New Roman" w:hAnsi="Arial" w:cs="Arial"/>
          <w:b/>
          <w:bCs/>
          <w:sz w:val="24"/>
          <w:szCs w:val="24"/>
          <w:lang w:eastAsia="en-IN"/>
        </w:rPr>
        <w:t>3 seconds</w:t>
      </w:r>
      <w:r w:rsidRPr="006C1075">
        <w:rPr>
          <w:rFonts w:ascii="Arial" w:eastAsia="Times New Roman" w:hAnsi="Arial" w:cs="Arial"/>
          <w:sz w:val="24"/>
          <w:szCs w:val="24"/>
          <w:lang w:eastAsia="en-IN"/>
        </w:rPr>
        <w:t xml:space="preserve">, have snapshot capability, and use a simulation time step of </w:t>
      </w:r>
      <w:r w:rsidRPr="006C1075">
        <w:rPr>
          <w:rFonts w:ascii="Arial" w:eastAsia="Times New Roman" w:hAnsi="Arial" w:cs="Arial"/>
          <w:b/>
          <w:bCs/>
          <w:sz w:val="24"/>
          <w:szCs w:val="24"/>
          <w:lang w:eastAsia="en-IN"/>
        </w:rPr>
        <w:t>10 μ s or greater</w:t>
      </w:r>
      <w:r w:rsidRPr="006C1075">
        <w:rPr>
          <w:rFonts w:ascii="Arial" w:eastAsia="Times New Roman" w:hAnsi="Arial" w:cs="Arial"/>
          <w:sz w:val="24"/>
          <w:szCs w:val="24"/>
          <w:lang w:eastAsia="en-IN"/>
        </w:rPr>
        <w:t xml:space="preserve"> during a standard 100-second flat run (Technical ... p. 37).</w:t>
      </w:r>
    </w:p>
    <w:p w:rsidR="006C1075" w:rsidRPr="006C1075" w:rsidRDefault="006C1075" w:rsidP="006C1075">
      <w:pPr>
        <w:numPr>
          <w:ilvl w:val="0"/>
          <w:numId w:val="7"/>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Version Compatibility Boundaries:</w:t>
      </w:r>
      <w:r w:rsidRPr="006C1075">
        <w:rPr>
          <w:rFonts w:ascii="Arial" w:eastAsia="Times New Roman" w:hAnsi="Arial" w:cs="Arial"/>
          <w:sz w:val="24"/>
          <w:szCs w:val="24"/>
          <w:lang w:eastAsia="en-IN"/>
        </w:rPr>
        <w:t xml:space="preserve"> Simulation models must meet fixed engine compatibility rules (Technical ... p. 37):</w:t>
      </w:r>
    </w:p>
    <w:p w:rsidR="006C1075" w:rsidRPr="006C1075" w:rsidRDefault="006C1075" w:rsidP="006C1075">
      <w:pPr>
        <w:numPr>
          <w:ilvl w:val="1"/>
          <w:numId w:val="7"/>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EMT Platform:</w:t>
      </w:r>
      <w:r w:rsidRPr="006C1075">
        <w:rPr>
          <w:rFonts w:ascii="Arial" w:eastAsia="Times New Roman" w:hAnsi="Arial" w:cs="Arial"/>
          <w:sz w:val="24"/>
          <w:szCs w:val="24"/>
          <w:lang w:eastAsia="en-IN"/>
        </w:rPr>
        <w:t xml:space="preserve"> Fully compatible with PSCAD Version 4.6 and above, supporting Intel Visual Fortran 15 (or higher) and PSCAD V5 with GNU/Intel compilers (Technical ... p. 37).</w:t>
      </w:r>
    </w:p>
    <w:p w:rsidR="006C1075" w:rsidRPr="006C1075" w:rsidRDefault="006C1075" w:rsidP="006C1075">
      <w:pPr>
        <w:numPr>
          <w:ilvl w:val="1"/>
          <w:numId w:val="7"/>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i/>
          <w:iCs/>
          <w:sz w:val="24"/>
          <w:szCs w:val="24"/>
          <w:lang w:eastAsia="en-IN"/>
        </w:rPr>
        <w:t>RMS Platform:</w:t>
      </w:r>
      <w:r w:rsidRPr="006C1075">
        <w:rPr>
          <w:rFonts w:ascii="Arial" w:eastAsia="Times New Roman" w:hAnsi="Arial" w:cs="Arial"/>
          <w:sz w:val="24"/>
          <w:szCs w:val="24"/>
          <w:lang w:eastAsia="en-IN"/>
        </w:rPr>
        <w:t xml:space="preserve"> Fully compatible with PSS/E Version 34.4 and above, packaging all </w:t>
      </w:r>
      <w:r w:rsidRPr="006C1075">
        <w:rPr>
          <w:rFonts w:ascii="Courier New" w:eastAsia="Times New Roman" w:hAnsi="Courier New" w:cs="Courier New"/>
          <w:sz w:val="21"/>
          <w:szCs w:val="21"/>
          <w:lang w:eastAsia="en-IN"/>
        </w:rPr>
        <w:t>.sav</w:t>
      </w:r>
      <w:proofErr w:type="gramStart"/>
      <w:r w:rsidRPr="006C1075">
        <w:rPr>
          <w:rFonts w:ascii="Arial" w:eastAsia="Times New Roman" w:hAnsi="Arial" w:cs="Arial"/>
          <w:sz w:val="24"/>
          <w:szCs w:val="24"/>
          <w:lang w:eastAsia="en-IN"/>
        </w:rPr>
        <w:t xml:space="preserve">, </w:t>
      </w:r>
      <w:r w:rsidRPr="006C1075">
        <w:rPr>
          <w:rFonts w:ascii="Courier New" w:eastAsia="Times New Roman" w:hAnsi="Courier New" w:cs="Courier New"/>
          <w:sz w:val="21"/>
          <w:szCs w:val="21"/>
          <w:lang w:eastAsia="en-IN"/>
        </w:rPr>
        <w:t>.</w:t>
      </w:r>
      <w:proofErr w:type="spellStart"/>
      <w:r w:rsidRPr="006C1075">
        <w:rPr>
          <w:rFonts w:ascii="Courier New" w:eastAsia="Times New Roman" w:hAnsi="Courier New" w:cs="Courier New"/>
          <w:sz w:val="21"/>
          <w:szCs w:val="21"/>
          <w:lang w:eastAsia="en-IN"/>
        </w:rPr>
        <w:t>dyr</w:t>
      </w:r>
      <w:proofErr w:type="spellEnd"/>
      <w:proofErr w:type="gramEnd"/>
      <w:r w:rsidRPr="006C1075">
        <w:rPr>
          <w:rFonts w:ascii="Arial" w:eastAsia="Times New Roman" w:hAnsi="Arial" w:cs="Arial"/>
          <w:sz w:val="24"/>
          <w:szCs w:val="24"/>
          <w:lang w:eastAsia="en-IN"/>
        </w:rPr>
        <w:t xml:space="preserve">, </w:t>
      </w:r>
      <w:r w:rsidRPr="006C1075">
        <w:rPr>
          <w:rFonts w:ascii="Courier New" w:eastAsia="Times New Roman" w:hAnsi="Courier New" w:cs="Courier New"/>
          <w:sz w:val="21"/>
          <w:szCs w:val="21"/>
          <w:lang w:eastAsia="en-IN"/>
        </w:rPr>
        <w:t>.</w:t>
      </w:r>
      <w:proofErr w:type="spellStart"/>
      <w:r w:rsidRPr="006C1075">
        <w:rPr>
          <w:rFonts w:ascii="Courier New" w:eastAsia="Times New Roman" w:hAnsi="Courier New" w:cs="Courier New"/>
          <w:sz w:val="21"/>
          <w:szCs w:val="21"/>
          <w:lang w:eastAsia="en-IN"/>
        </w:rPr>
        <w:t>py</w:t>
      </w:r>
      <w:proofErr w:type="spellEnd"/>
      <w:r w:rsidRPr="006C1075">
        <w:rPr>
          <w:rFonts w:ascii="Arial" w:eastAsia="Times New Roman" w:hAnsi="Arial" w:cs="Arial"/>
          <w:sz w:val="24"/>
          <w:szCs w:val="24"/>
          <w:lang w:eastAsia="en-IN"/>
        </w:rPr>
        <w:t xml:space="preserve">, </w:t>
      </w:r>
      <w:r w:rsidRPr="006C1075">
        <w:rPr>
          <w:rFonts w:ascii="Courier New" w:eastAsia="Times New Roman" w:hAnsi="Courier New" w:cs="Courier New"/>
          <w:sz w:val="21"/>
          <w:szCs w:val="21"/>
          <w:lang w:eastAsia="en-IN"/>
        </w:rPr>
        <w:t>.</w:t>
      </w:r>
      <w:proofErr w:type="spellStart"/>
      <w:r w:rsidRPr="006C1075">
        <w:rPr>
          <w:rFonts w:ascii="Courier New" w:eastAsia="Times New Roman" w:hAnsi="Courier New" w:cs="Courier New"/>
          <w:sz w:val="21"/>
          <w:szCs w:val="21"/>
          <w:lang w:eastAsia="en-IN"/>
        </w:rPr>
        <w:t>idv</w:t>
      </w:r>
      <w:proofErr w:type="spellEnd"/>
      <w:r w:rsidRPr="006C1075">
        <w:rPr>
          <w:rFonts w:ascii="Arial" w:eastAsia="Times New Roman" w:hAnsi="Arial" w:cs="Arial"/>
          <w:sz w:val="24"/>
          <w:szCs w:val="24"/>
          <w:lang w:eastAsia="en-IN"/>
        </w:rPr>
        <w:t xml:space="preserve">, </w:t>
      </w:r>
      <w:r w:rsidRPr="006C1075">
        <w:rPr>
          <w:rFonts w:ascii="Courier New" w:eastAsia="Times New Roman" w:hAnsi="Courier New" w:cs="Courier New"/>
          <w:sz w:val="21"/>
          <w:szCs w:val="21"/>
          <w:lang w:eastAsia="en-IN"/>
        </w:rPr>
        <w:t>.</w:t>
      </w:r>
      <w:proofErr w:type="spellStart"/>
      <w:r w:rsidRPr="006C1075">
        <w:rPr>
          <w:rFonts w:ascii="Courier New" w:eastAsia="Times New Roman" w:hAnsi="Courier New" w:cs="Courier New"/>
          <w:sz w:val="21"/>
          <w:szCs w:val="21"/>
          <w:lang w:eastAsia="en-IN"/>
        </w:rPr>
        <w:t>sld</w:t>
      </w:r>
      <w:proofErr w:type="spellEnd"/>
      <w:r w:rsidRPr="006C1075">
        <w:rPr>
          <w:rFonts w:ascii="Arial" w:eastAsia="Times New Roman" w:hAnsi="Arial" w:cs="Arial"/>
          <w:sz w:val="24"/>
          <w:szCs w:val="24"/>
          <w:lang w:eastAsia="en-IN"/>
        </w:rPr>
        <w:t xml:space="preserve">, and </w:t>
      </w:r>
      <w:r w:rsidRPr="006C1075">
        <w:rPr>
          <w:rFonts w:ascii="Courier New" w:eastAsia="Times New Roman" w:hAnsi="Courier New" w:cs="Courier New"/>
          <w:sz w:val="21"/>
          <w:szCs w:val="21"/>
          <w:lang w:eastAsia="en-IN"/>
        </w:rPr>
        <w:t>.out</w:t>
      </w:r>
      <w:r w:rsidRPr="006C1075">
        <w:rPr>
          <w:rFonts w:ascii="Arial" w:eastAsia="Times New Roman" w:hAnsi="Arial" w:cs="Arial"/>
          <w:sz w:val="24"/>
          <w:szCs w:val="24"/>
          <w:lang w:eastAsia="en-IN"/>
        </w:rPr>
        <w:t xml:space="preserve"> structural configuration files (Technical ... p. 37).</w:t>
      </w:r>
    </w:p>
    <w:p w:rsidR="006C1075" w:rsidRPr="006C1075" w:rsidRDefault="006C1075" w:rsidP="006C1075">
      <w:pPr>
        <w:numPr>
          <w:ilvl w:val="0"/>
          <w:numId w:val="7"/>
        </w:numPr>
        <w:spacing w:after="0" w:line="360" w:lineRule="auto"/>
        <w:ind w:left="-426"/>
        <w:jc w:val="both"/>
        <w:rPr>
          <w:rFonts w:ascii="Arial" w:eastAsia="Times New Roman" w:hAnsi="Arial" w:cs="Arial"/>
          <w:sz w:val="24"/>
          <w:szCs w:val="24"/>
          <w:lang w:eastAsia="en-IN"/>
        </w:rPr>
      </w:pPr>
      <w:r w:rsidRPr="006C1075">
        <w:rPr>
          <w:rFonts w:ascii="Arial" w:eastAsia="Times New Roman" w:hAnsi="Arial" w:cs="Arial"/>
          <w:b/>
          <w:bCs/>
          <w:sz w:val="24"/>
          <w:szCs w:val="24"/>
          <w:lang w:eastAsia="en-IN"/>
        </w:rPr>
        <w:t>Power Quality &amp; Fault Response Focus:</w:t>
      </w:r>
      <w:r w:rsidRPr="006C1075">
        <w:rPr>
          <w:rFonts w:ascii="Arial" w:eastAsia="Times New Roman" w:hAnsi="Arial" w:cs="Arial"/>
          <w:sz w:val="24"/>
          <w:szCs w:val="24"/>
          <w:lang w:eastAsia="en-IN"/>
        </w:rPr>
        <w:t xml:space="preserve"> Inverters (PCS) must demonstrate primary frequency control with adjustable droop settings, provide oscillation-free active/reactive power recovery during LVRT/HVRT events, and prioritize reactive power support according to voltage dips during faults (Technical ... pp. 12, 35). Bidders must measure and report harmonic contents, DC injection, and flicker parameters at least once a year throughout the entire 15-year O&amp;M tenure (Technical ... pp. 15, 44).</w:t>
      </w:r>
    </w:p>
    <w:p w:rsidR="006C1075" w:rsidRPr="006C1075" w:rsidRDefault="006C1075" w:rsidP="006C1075">
      <w:pPr>
        <w:spacing w:before="480" w:after="480" w:line="360" w:lineRule="auto"/>
        <w:ind w:left="-426"/>
        <w:jc w:val="both"/>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52" style="width:0;height:1.5pt" o:hralign="center" o:hrstd="t" o:hr="t" fillcolor="#a0a0a0" stroked="f"/>
        </w:pict>
      </w:r>
    </w:p>
    <w:p w:rsidR="006C1075" w:rsidRPr="006C1075" w:rsidRDefault="006C1075" w:rsidP="006C1075">
      <w:pPr>
        <w:spacing w:line="360" w:lineRule="auto"/>
        <w:rPr>
          <w:rFonts w:ascii="Arial" w:eastAsia="Times New Roman" w:hAnsi="Arial" w:cs="Arial"/>
          <w:b/>
          <w:bCs/>
          <w:sz w:val="30"/>
          <w:szCs w:val="30"/>
          <w:lang w:eastAsia="en-IN"/>
        </w:rPr>
      </w:pPr>
      <w:r w:rsidRPr="006C1075">
        <w:rPr>
          <w:rFonts w:ascii="Arial" w:eastAsia="Times New Roman" w:hAnsi="Arial" w:cs="Arial"/>
          <w:b/>
          <w:bCs/>
          <w:sz w:val="30"/>
          <w:szCs w:val="30"/>
          <w:lang w:eastAsia="en-IN"/>
        </w:rPr>
        <w:t xml:space="preserve">1. Technical </w:t>
      </w:r>
      <w:proofErr w:type="spellStart"/>
      <w:r w:rsidRPr="006C1075">
        <w:rPr>
          <w:rFonts w:ascii="Arial" w:eastAsia="Times New Roman" w:hAnsi="Arial" w:cs="Arial"/>
          <w:b/>
          <w:bCs/>
          <w:sz w:val="30"/>
          <w:szCs w:val="30"/>
          <w:lang w:eastAsia="en-IN"/>
        </w:rPr>
        <w:t>Elegibility</w:t>
      </w:r>
      <w:proofErr w:type="spellEnd"/>
      <w:r w:rsidRPr="006C1075">
        <w:rPr>
          <w:rFonts w:ascii="Arial" w:eastAsia="Times New Roman" w:hAnsi="Arial" w:cs="Arial"/>
          <w:b/>
          <w:bCs/>
          <w:sz w:val="30"/>
          <w:szCs w:val="30"/>
          <w:lang w:eastAsia="en-IN"/>
        </w:rPr>
        <w:t xml:space="preserve"> Criteria</w:t>
      </w:r>
    </w:p>
    <w:p w:rsidR="006C1075" w:rsidRPr="006C1075" w:rsidRDefault="006C1075" w:rsidP="006C1075">
      <w:pPr>
        <w:spacing w:line="360" w:lineRule="auto"/>
        <w:rPr>
          <w:rFonts w:ascii="Arial" w:eastAsia="Times New Roman" w:hAnsi="Arial" w:cs="Arial"/>
          <w:sz w:val="24"/>
          <w:szCs w:val="24"/>
          <w:lang w:eastAsia="en-IN"/>
        </w:rPr>
      </w:pPr>
      <w:r w:rsidRPr="006C1075">
        <w:rPr>
          <w:rFonts w:ascii="Arial" w:eastAsia="Times New Roman" w:hAnsi="Arial" w:cs="Arial"/>
          <w:sz w:val="24"/>
          <w:szCs w:val="24"/>
          <w:lang w:eastAsia="en-IN"/>
        </w:rPr>
        <w:t>Bidders can typically qualify under one of three distinct routes, depending on whether they are grid-scale system integrators, standalone project developers, or executing via technology collaboration. [</w:t>
      </w:r>
      <w:hyperlink r:id="rId5"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numPr>
          <w:ilvl w:val="0"/>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Route 1: Battery System Integration Experience</w:t>
      </w:r>
    </w:p>
    <w:p w:rsidR="006C1075" w:rsidRPr="006C1075" w:rsidRDefault="006C1075" w:rsidP="006C1075">
      <w:pPr>
        <w:numPr>
          <w:ilvl w:val="1"/>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sz w:val="24"/>
          <w:szCs w:val="24"/>
          <w:lang w:eastAsia="en-IN"/>
        </w:rPr>
        <w:t xml:space="preserve">The bidder must have designed, supplied, erected/supervised erection, and successfully commissioned grid-connected Battery Energy Storage Systems (BESS) of a minimum cumulative capacity (often around </w:t>
      </w:r>
      <w:r w:rsidRPr="006C1075">
        <w:rPr>
          <w:rFonts w:ascii="Arial" w:eastAsia="Times New Roman" w:hAnsi="Arial" w:cs="Arial"/>
          <w:b/>
          <w:bCs/>
          <w:sz w:val="24"/>
          <w:szCs w:val="24"/>
          <w:lang w:eastAsia="en-IN"/>
        </w:rPr>
        <w:t>80 MWh to 100 MWh</w:t>
      </w:r>
      <w:r w:rsidRPr="006C1075">
        <w:rPr>
          <w:rFonts w:ascii="Arial" w:eastAsia="Times New Roman" w:hAnsi="Arial" w:cs="Arial"/>
          <w:sz w:val="24"/>
          <w:szCs w:val="24"/>
          <w:lang w:eastAsia="en-IN"/>
        </w:rPr>
        <w:t xml:space="preserve"> across multiple locations).</w:t>
      </w:r>
    </w:p>
    <w:p w:rsidR="006C1075" w:rsidRPr="006C1075" w:rsidRDefault="006C1075" w:rsidP="006C1075">
      <w:pPr>
        <w:numPr>
          <w:ilvl w:val="1"/>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sz w:val="24"/>
          <w:szCs w:val="24"/>
          <w:lang w:eastAsia="en-IN"/>
        </w:rPr>
        <w:t xml:space="preserve">Out of these reference projects, </w:t>
      </w:r>
      <w:r w:rsidRPr="006C1075">
        <w:rPr>
          <w:rFonts w:ascii="Arial" w:eastAsia="Times New Roman" w:hAnsi="Arial" w:cs="Arial"/>
          <w:b/>
          <w:bCs/>
          <w:sz w:val="24"/>
          <w:szCs w:val="24"/>
          <w:lang w:eastAsia="en-IN"/>
        </w:rPr>
        <w:t>at least one single-location BESS asset must have a minimum capacity of 20 MWh</w:t>
      </w:r>
      <w:r w:rsidRPr="006C1075">
        <w:rPr>
          <w:rFonts w:ascii="Arial" w:eastAsia="Times New Roman" w:hAnsi="Arial" w:cs="Arial"/>
          <w:sz w:val="24"/>
          <w:szCs w:val="24"/>
          <w:lang w:eastAsia="en-IN"/>
        </w:rPr>
        <w:t xml:space="preserve"> and must have been in successful operation for at least 6 months. [</w:t>
      </w:r>
      <w:hyperlink r:id="rId6"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numPr>
          <w:ilvl w:val="0"/>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Route 2: Grid-Connected Renewable Energy (RE) Developer/EPC</w:t>
      </w:r>
    </w:p>
    <w:p w:rsidR="006C1075" w:rsidRPr="006C1075" w:rsidRDefault="006C1075" w:rsidP="006C1075">
      <w:pPr>
        <w:numPr>
          <w:ilvl w:val="1"/>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sz w:val="24"/>
          <w:szCs w:val="24"/>
          <w:lang w:eastAsia="en-IN"/>
        </w:rPr>
        <w:t>Bidders who do not possess deep prior battery experience can qualify if they have executed large-scale infrastructure projects.</w:t>
      </w:r>
    </w:p>
    <w:p w:rsidR="006C1075" w:rsidRPr="006C1075" w:rsidRDefault="006C1075" w:rsidP="006C1075">
      <w:pPr>
        <w:numPr>
          <w:ilvl w:val="1"/>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sz w:val="24"/>
          <w:szCs w:val="24"/>
          <w:lang w:eastAsia="en-IN"/>
        </w:rPr>
        <w:lastRenderedPageBreak/>
        <w:t xml:space="preserve">They must have designed, supplied, erected, and commissioned grid-connected </w:t>
      </w:r>
      <w:r w:rsidRPr="006C1075">
        <w:rPr>
          <w:rFonts w:ascii="Arial" w:eastAsia="Times New Roman" w:hAnsi="Arial" w:cs="Arial"/>
          <w:b/>
          <w:bCs/>
          <w:sz w:val="24"/>
          <w:szCs w:val="24"/>
          <w:lang w:eastAsia="en-IN"/>
        </w:rPr>
        <w:t>Solar PV or Wind projects of a cumulative capacity of 100 MW or above</w:t>
      </w:r>
      <w:r w:rsidRPr="006C1075">
        <w:rPr>
          <w:rFonts w:ascii="Arial" w:eastAsia="Times New Roman" w:hAnsi="Arial" w:cs="Arial"/>
          <w:sz w:val="24"/>
          <w:szCs w:val="24"/>
          <w:lang w:eastAsia="en-IN"/>
        </w:rPr>
        <w:t>.</w:t>
      </w:r>
    </w:p>
    <w:p w:rsidR="006C1075" w:rsidRPr="006C1075" w:rsidRDefault="006C1075" w:rsidP="006C1075">
      <w:pPr>
        <w:numPr>
          <w:ilvl w:val="1"/>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sz w:val="24"/>
          <w:szCs w:val="24"/>
          <w:lang w:eastAsia="en-IN"/>
        </w:rPr>
        <w:t xml:space="preserve">At least </w:t>
      </w:r>
      <w:r w:rsidRPr="006C1075">
        <w:rPr>
          <w:rFonts w:ascii="Arial" w:eastAsia="Times New Roman" w:hAnsi="Arial" w:cs="Arial"/>
          <w:b/>
          <w:bCs/>
          <w:sz w:val="24"/>
          <w:szCs w:val="24"/>
          <w:lang w:eastAsia="en-IN"/>
        </w:rPr>
        <w:t>one single-location anchor reference project must be of 40 MW or above</w:t>
      </w:r>
      <w:r w:rsidRPr="006C1075">
        <w:rPr>
          <w:rFonts w:ascii="Arial" w:eastAsia="Times New Roman" w:hAnsi="Arial" w:cs="Arial"/>
          <w:sz w:val="24"/>
          <w:szCs w:val="24"/>
          <w:lang w:eastAsia="en-IN"/>
        </w:rPr>
        <w:t xml:space="preserve"> and in successful operation for at least 6 months prior to the techno-commercial bid opening. [</w:t>
      </w:r>
      <w:hyperlink r:id="rId7"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 xml:space="preserve">, </w:t>
      </w:r>
      <w:hyperlink r:id="rId8" w:history="1">
        <w:r w:rsidRPr="006C1075">
          <w:rPr>
            <w:rFonts w:ascii="Arial" w:eastAsia="Times New Roman" w:hAnsi="Arial" w:cs="Arial"/>
            <w:color w:val="0000FF"/>
            <w:sz w:val="24"/>
            <w:szCs w:val="24"/>
            <w:u w:val="single"/>
            <w:lang w:eastAsia="en-IN"/>
          </w:rPr>
          <w:t>2</w:t>
        </w:r>
      </w:hyperlink>
      <w:r w:rsidRPr="006C1075">
        <w:rPr>
          <w:rFonts w:ascii="Arial" w:eastAsia="Times New Roman" w:hAnsi="Arial" w:cs="Arial"/>
          <w:sz w:val="24"/>
          <w:szCs w:val="24"/>
          <w:lang w:eastAsia="en-IN"/>
        </w:rPr>
        <w:t>]</w:t>
      </w:r>
    </w:p>
    <w:p w:rsidR="006C1075" w:rsidRPr="006C1075" w:rsidRDefault="006C1075" w:rsidP="006C1075">
      <w:pPr>
        <w:numPr>
          <w:ilvl w:val="0"/>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Route 3: Sub-Station Evacuation Infrastructure Experience</w:t>
      </w:r>
    </w:p>
    <w:p w:rsidR="006C1075" w:rsidRPr="006C1075" w:rsidRDefault="006C1075" w:rsidP="006C1075">
      <w:pPr>
        <w:numPr>
          <w:ilvl w:val="1"/>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sz w:val="24"/>
          <w:szCs w:val="24"/>
          <w:lang w:eastAsia="en-IN"/>
        </w:rPr>
        <w:t xml:space="preserve">The bidder must have executed at least one electrical pooling sub-station of </w:t>
      </w:r>
      <w:r w:rsidRPr="006C1075">
        <w:rPr>
          <w:rFonts w:ascii="Arial" w:eastAsia="Times New Roman" w:hAnsi="Arial" w:cs="Arial"/>
          <w:b/>
          <w:bCs/>
          <w:sz w:val="24"/>
          <w:szCs w:val="24"/>
          <w:lang w:eastAsia="en-IN"/>
        </w:rPr>
        <w:t>33 kV or above voltage level</w:t>
      </w:r>
      <w:r w:rsidRPr="006C1075">
        <w:rPr>
          <w:rFonts w:ascii="Arial" w:eastAsia="Times New Roman" w:hAnsi="Arial" w:cs="Arial"/>
          <w:sz w:val="24"/>
          <w:szCs w:val="24"/>
          <w:lang w:eastAsia="en-IN"/>
        </w:rPr>
        <w:t xml:space="preserve"> consisting of equipment like circuit breakers and power transformers as an EPC contractor or developer.</w:t>
      </w:r>
    </w:p>
    <w:p w:rsidR="006C1075" w:rsidRPr="006C1075" w:rsidRDefault="006C1075" w:rsidP="006C1075">
      <w:pPr>
        <w:numPr>
          <w:ilvl w:val="1"/>
          <w:numId w:val="8"/>
        </w:numPr>
        <w:spacing w:after="0" w:line="360" w:lineRule="auto"/>
        <w:ind w:left="0"/>
        <w:rPr>
          <w:rFonts w:ascii="Arial" w:eastAsia="Times New Roman" w:hAnsi="Arial" w:cs="Arial"/>
          <w:sz w:val="24"/>
          <w:szCs w:val="24"/>
          <w:lang w:eastAsia="en-IN"/>
        </w:rPr>
      </w:pPr>
      <w:r w:rsidRPr="006C1075">
        <w:rPr>
          <w:rFonts w:ascii="Arial" w:eastAsia="Times New Roman" w:hAnsi="Arial" w:cs="Arial"/>
          <w:sz w:val="24"/>
          <w:szCs w:val="24"/>
          <w:lang w:eastAsia="en-IN"/>
        </w:rPr>
        <w:t>This sub-station must have been in successful operation for at least 1 year (or 6 months if in the RE sector). [</w:t>
      </w:r>
      <w:hyperlink r:id="rId9"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spacing w:before="480" w:after="480" w:line="360" w:lineRule="auto"/>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61" style="width:0;height:1.5pt" o:hralign="center" o:hrstd="t" o:hr="t" fillcolor="#a0a0a0" stroked="f"/>
        </w:pict>
      </w:r>
    </w:p>
    <w:p w:rsidR="006C1075" w:rsidRPr="006C1075" w:rsidRDefault="006C1075" w:rsidP="006C1075">
      <w:pPr>
        <w:spacing w:before="480" w:after="480" w:line="360" w:lineRule="auto"/>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t>💰</w:t>
      </w:r>
      <w:r w:rsidRPr="006C1075">
        <w:rPr>
          <w:rFonts w:ascii="Arial" w:eastAsia="Times New Roman" w:hAnsi="Arial" w:cs="Arial"/>
          <w:b/>
          <w:bCs/>
          <w:sz w:val="30"/>
          <w:szCs w:val="30"/>
          <w:lang w:eastAsia="en-IN"/>
        </w:rPr>
        <w:t xml:space="preserve"> 2. Financial Qualification Criteria</w:t>
      </w:r>
    </w:p>
    <w:p w:rsidR="006C1075" w:rsidRPr="006C1075" w:rsidRDefault="006C1075" w:rsidP="006C1075">
      <w:pPr>
        <w:spacing w:before="480" w:after="480" w:line="360" w:lineRule="auto"/>
        <w:rPr>
          <w:rFonts w:ascii="Arial" w:eastAsia="Times New Roman" w:hAnsi="Arial" w:cs="Arial"/>
          <w:sz w:val="24"/>
          <w:szCs w:val="24"/>
          <w:lang w:eastAsia="en-IN"/>
        </w:rPr>
      </w:pPr>
      <w:r w:rsidRPr="006C1075">
        <w:rPr>
          <w:rFonts w:ascii="Arial" w:eastAsia="Times New Roman" w:hAnsi="Arial" w:cs="Arial"/>
          <w:sz w:val="24"/>
          <w:szCs w:val="24"/>
          <w:lang w:eastAsia="en-IN"/>
        </w:rPr>
        <w:t>The financial requirements ensure the bidder can support the intensive upfront capital expenditure (</w:t>
      </w:r>
      <w:proofErr w:type="spellStart"/>
      <w:r w:rsidRPr="006C1075">
        <w:rPr>
          <w:rFonts w:ascii="Arial" w:eastAsia="Times New Roman" w:hAnsi="Arial" w:cs="Arial"/>
          <w:sz w:val="24"/>
          <w:szCs w:val="24"/>
          <w:lang w:eastAsia="en-IN"/>
        </w:rPr>
        <w:t>CapEx</w:t>
      </w:r>
      <w:proofErr w:type="spellEnd"/>
      <w:r w:rsidRPr="006C1075">
        <w:rPr>
          <w:rFonts w:ascii="Arial" w:eastAsia="Times New Roman" w:hAnsi="Arial" w:cs="Arial"/>
          <w:sz w:val="24"/>
          <w:szCs w:val="24"/>
          <w:lang w:eastAsia="en-IN"/>
        </w:rPr>
        <w:t>) cycle before milestone payments are unlocked. [</w:t>
      </w:r>
      <w:hyperlink r:id="rId10"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numPr>
          <w:ilvl w:val="0"/>
          <w:numId w:val="9"/>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Minimum Average Annual Turnover (MAAT):</w:t>
      </w:r>
      <w:r w:rsidRPr="006C1075">
        <w:rPr>
          <w:rFonts w:ascii="Arial" w:eastAsia="Times New Roman" w:hAnsi="Arial" w:cs="Arial"/>
          <w:sz w:val="24"/>
          <w:szCs w:val="24"/>
          <w:lang w:eastAsia="en-IN"/>
        </w:rPr>
        <w:t xml:space="preserve"> The bidder’s average annual turnover cannot be less than a specified financial threshold (typically calculated proportionally based on the estimated project block value) during any </w:t>
      </w:r>
      <w:r w:rsidRPr="006C1075">
        <w:rPr>
          <w:rFonts w:ascii="Arial" w:eastAsia="Times New Roman" w:hAnsi="Arial" w:cs="Arial"/>
          <w:b/>
          <w:bCs/>
          <w:sz w:val="24"/>
          <w:szCs w:val="24"/>
          <w:lang w:eastAsia="en-IN"/>
        </w:rPr>
        <w:t>three financial years out of the preceding five financial years</w:t>
      </w:r>
      <w:r w:rsidRPr="006C1075">
        <w:rPr>
          <w:rFonts w:ascii="Arial" w:eastAsia="Times New Roman" w:hAnsi="Arial" w:cs="Arial"/>
          <w:sz w:val="24"/>
          <w:szCs w:val="24"/>
          <w:lang w:eastAsia="en-IN"/>
        </w:rPr>
        <w:t>. [</w:t>
      </w:r>
      <w:hyperlink r:id="rId11"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numPr>
          <w:ilvl w:val="0"/>
          <w:numId w:val="9"/>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Net Worth Guardrail:</w:t>
      </w:r>
      <w:r w:rsidRPr="006C1075">
        <w:rPr>
          <w:rFonts w:ascii="Arial" w:eastAsia="Times New Roman" w:hAnsi="Arial" w:cs="Arial"/>
          <w:sz w:val="24"/>
          <w:szCs w:val="24"/>
          <w:lang w:eastAsia="en-IN"/>
        </w:rPr>
        <w:t xml:space="preserve"> The financial net worth of the bidder as on the last day of the preceding financial year must be </w:t>
      </w:r>
      <w:r w:rsidRPr="006C1075">
        <w:rPr>
          <w:rFonts w:ascii="Arial" w:eastAsia="Times New Roman" w:hAnsi="Arial" w:cs="Arial"/>
          <w:b/>
          <w:bCs/>
          <w:sz w:val="24"/>
          <w:szCs w:val="24"/>
          <w:lang w:eastAsia="en-IN"/>
        </w:rPr>
        <w:t>positive and not less than 100% of their paid-up share capital</w:t>
      </w:r>
      <w:r w:rsidRPr="006C1075">
        <w:rPr>
          <w:rFonts w:ascii="Arial" w:eastAsia="Times New Roman" w:hAnsi="Arial" w:cs="Arial"/>
          <w:sz w:val="24"/>
          <w:szCs w:val="24"/>
          <w:lang w:eastAsia="en-IN"/>
        </w:rPr>
        <w:t>. Holding company net worth line support can be leveraged via formal board resolution extensions. [</w:t>
      </w:r>
      <w:hyperlink r:id="rId12"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 xml:space="preserve">, </w:t>
      </w:r>
      <w:hyperlink r:id="rId13" w:history="1">
        <w:r w:rsidRPr="006C1075">
          <w:rPr>
            <w:rFonts w:ascii="Arial" w:eastAsia="Times New Roman" w:hAnsi="Arial" w:cs="Arial"/>
            <w:color w:val="0000FF"/>
            <w:sz w:val="24"/>
            <w:szCs w:val="24"/>
            <w:u w:val="single"/>
            <w:lang w:eastAsia="en-IN"/>
          </w:rPr>
          <w:t>2</w:t>
        </w:r>
      </w:hyperlink>
      <w:r w:rsidRPr="006C1075">
        <w:rPr>
          <w:rFonts w:ascii="Arial" w:eastAsia="Times New Roman" w:hAnsi="Arial" w:cs="Arial"/>
          <w:sz w:val="24"/>
          <w:szCs w:val="24"/>
          <w:lang w:eastAsia="en-IN"/>
        </w:rPr>
        <w:t>]</w:t>
      </w:r>
    </w:p>
    <w:p w:rsidR="006C1075" w:rsidRPr="006C1075" w:rsidRDefault="006C1075" w:rsidP="006C1075">
      <w:pPr>
        <w:numPr>
          <w:ilvl w:val="0"/>
          <w:numId w:val="9"/>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Liquid Assets Buffer:</w:t>
      </w:r>
      <w:r w:rsidRPr="006C1075">
        <w:rPr>
          <w:rFonts w:ascii="Arial" w:eastAsia="Times New Roman" w:hAnsi="Arial" w:cs="Arial"/>
          <w:sz w:val="24"/>
          <w:szCs w:val="24"/>
          <w:lang w:eastAsia="en-IN"/>
        </w:rPr>
        <w:t xml:space="preserve"> Bidders must demonstrate active credit lines, immediate cash balances, or liquid asset availability of a designated value to prove stable daily operational cash flow capability during construction. [</w:t>
      </w:r>
      <w:hyperlink r:id="rId14"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spacing w:before="480" w:after="480" w:line="360" w:lineRule="auto"/>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62" style="width:0;height:1.5pt" o:hralign="center" o:hrstd="t" o:hr="t" fillcolor="#a0a0a0" stroked="f"/>
        </w:pict>
      </w:r>
    </w:p>
    <w:p w:rsidR="006C1075" w:rsidRPr="006C1075" w:rsidRDefault="006C1075" w:rsidP="006C1075">
      <w:pPr>
        <w:spacing w:before="480" w:after="480" w:line="360" w:lineRule="auto"/>
        <w:rPr>
          <w:rFonts w:ascii="Arial" w:eastAsia="Times New Roman" w:hAnsi="Arial" w:cs="Arial"/>
          <w:b/>
          <w:bCs/>
          <w:sz w:val="30"/>
          <w:szCs w:val="30"/>
          <w:lang w:eastAsia="en-IN"/>
        </w:rPr>
      </w:pPr>
      <w:r w:rsidRPr="006C1075">
        <w:rPr>
          <w:rFonts w:ascii="Segoe UI Emoji" w:eastAsia="Times New Roman" w:hAnsi="Segoe UI Emoji" w:cs="Segoe UI Emoji"/>
          <w:b/>
          <w:bCs/>
          <w:sz w:val="30"/>
          <w:szCs w:val="30"/>
          <w:lang w:eastAsia="en-IN"/>
        </w:rPr>
        <w:lastRenderedPageBreak/>
        <w:t>🌐</w:t>
      </w:r>
      <w:r w:rsidRPr="006C1075">
        <w:rPr>
          <w:rFonts w:ascii="Arial" w:eastAsia="Times New Roman" w:hAnsi="Arial" w:cs="Arial"/>
          <w:b/>
          <w:bCs/>
          <w:sz w:val="30"/>
          <w:szCs w:val="30"/>
          <w:lang w:eastAsia="en-IN"/>
        </w:rPr>
        <w:t xml:space="preserve"> 3. Statutory, OEM &amp; Geopolitical Compliance (Critical Blocks)</w:t>
      </w:r>
    </w:p>
    <w:p w:rsidR="006C1075" w:rsidRPr="006C1075" w:rsidRDefault="006C1075" w:rsidP="006C1075">
      <w:pPr>
        <w:numPr>
          <w:ilvl w:val="0"/>
          <w:numId w:val="10"/>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Geopolitical Cross-Border Restrictions (</w:t>
      </w:r>
      <w:proofErr w:type="spellStart"/>
      <w:r w:rsidRPr="006C1075">
        <w:rPr>
          <w:rFonts w:ascii="Arial" w:eastAsia="Times New Roman" w:hAnsi="Arial" w:cs="Arial"/>
          <w:b/>
          <w:bCs/>
          <w:sz w:val="24"/>
          <w:szCs w:val="24"/>
          <w:lang w:eastAsia="en-IN"/>
        </w:rPr>
        <w:t>ToT</w:t>
      </w:r>
      <w:proofErr w:type="spellEnd"/>
      <w:r w:rsidRPr="006C1075">
        <w:rPr>
          <w:rFonts w:ascii="Arial" w:eastAsia="Times New Roman" w:hAnsi="Arial" w:cs="Arial"/>
          <w:b/>
          <w:bCs/>
          <w:sz w:val="24"/>
          <w:szCs w:val="24"/>
          <w:lang w:eastAsia="en-IN"/>
        </w:rPr>
        <w:t xml:space="preserve"> Rule):</w:t>
      </w:r>
      <w:r w:rsidRPr="006C1075">
        <w:rPr>
          <w:rFonts w:ascii="Arial" w:eastAsia="Times New Roman" w:hAnsi="Arial" w:cs="Arial"/>
          <w:sz w:val="24"/>
          <w:szCs w:val="24"/>
          <w:lang w:eastAsia="en-IN"/>
        </w:rPr>
        <w:t xml:space="preserve"> In line with Ministry of Finance guidelines, any bidder or consortium partner possessing a </w:t>
      </w:r>
      <w:r w:rsidRPr="006C1075">
        <w:rPr>
          <w:rFonts w:ascii="Arial" w:eastAsia="Times New Roman" w:hAnsi="Arial" w:cs="Arial"/>
          <w:b/>
          <w:bCs/>
          <w:sz w:val="24"/>
          <w:szCs w:val="24"/>
          <w:lang w:eastAsia="en-IN"/>
        </w:rPr>
        <w:t>Transfer of Technology (</w:t>
      </w:r>
      <w:proofErr w:type="spellStart"/>
      <w:r w:rsidRPr="006C1075">
        <w:rPr>
          <w:rFonts w:ascii="Arial" w:eastAsia="Times New Roman" w:hAnsi="Arial" w:cs="Arial"/>
          <w:b/>
          <w:bCs/>
          <w:sz w:val="24"/>
          <w:szCs w:val="24"/>
          <w:lang w:eastAsia="en-IN"/>
        </w:rPr>
        <w:t>ToT</w:t>
      </w:r>
      <w:proofErr w:type="spellEnd"/>
      <w:r w:rsidRPr="006C1075">
        <w:rPr>
          <w:rFonts w:ascii="Arial" w:eastAsia="Times New Roman" w:hAnsi="Arial" w:cs="Arial"/>
          <w:b/>
          <w:bCs/>
          <w:sz w:val="24"/>
          <w:szCs w:val="24"/>
          <w:lang w:eastAsia="en-IN"/>
        </w:rPr>
        <w:t>) arrangement</w:t>
      </w:r>
      <w:r w:rsidRPr="006C1075">
        <w:rPr>
          <w:rFonts w:ascii="Arial" w:eastAsia="Times New Roman" w:hAnsi="Arial" w:cs="Arial"/>
          <w:sz w:val="24"/>
          <w:szCs w:val="24"/>
          <w:lang w:eastAsia="en-IN"/>
        </w:rPr>
        <w:t xml:space="preserve"> with an entity from a country sharing a land border with India is eligible only if registered with the Competent Registration Authority. [</w:t>
      </w:r>
      <w:hyperlink r:id="rId15"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numPr>
          <w:ilvl w:val="0"/>
          <w:numId w:val="10"/>
        </w:numPr>
        <w:spacing w:after="0" w:line="360" w:lineRule="auto"/>
        <w:ind w:left="0"/>
        <w:rPr>
          <w:rFonts w:ascii="Arial" w:eastAsia="Times New Roman" w:hAnsi="Arial" w:cs="Arial"/>
          <w:sz w:val="24"/>
          <w:szCs w:val="24"/>
          <w:lang w:eastAsia="en-IN"/>
        </w:rPr>
      </w:pPr>
      <w:r w:rsidRPr="006C1075">
        <w:rPr>
          <w:rFonts w:ascii="Arial" w:eastAsia="Times New Roman" w:hAnsi="Arial" w:cs="Arial"/>
          <w:i/>
          <w:iCs/>
          <w:sz w:val="24"/>
          <w:szCs w:val="24"/>
          <w:lang w:eastAsia="en-IN"/>
        </w:rPr>
        <w:t>Lithium-Ion Waiver:</w:t>
      </w:r>
      <w:r w:rsidRPr="006C1075">
        <w:rPr>
          <w:rFonts w:ascii="Arial" w:eastAsia="Times New Roman" w:hAnsi="Arial" w:cs="Arial"/>
          <w:sz w:val="24"/>
          <w:szCs w:val="24"/>
          <w:lang w:eastAsia="en-IN"/>
        </w:rPr>
        <w:t xml:space="preserve"> Notably, the Ministry of Power provides an active waiver on this specific cross-border registration requirement </w:t>
      </w:r>
      <w:r w:rsidRPr="006C1075">
        <w:rPr>
          <w:rFonts w:ascii="Arial" w:eastAsia="Times New Roman" w:hAnsi="Arial" w:cs="Arial"/>
          <w:b/>
          <w:bCs/>
          <w:sz w:val="24"/>
          <w:szCs w:val="24"/>
          <w:lang w:eastAsia="en-IN"/>
        </w:rPr>
        <w:t>exclusively for bidders utilizing Lithium-Ion cell technologies</w:t>
      </w:r>
      <w:r w:rsidRPr="006C1075">
        <w:rPr>
          <w:rFonts w:ascii="Arial" w:eastAsia="Times New Roman" w:hAnsi="Arial" w:cs="Arial"/>
          <w:sz w:val="24"/>
          <w:szCs w:val="24"/>
          <w:lang w:eastAsia="en-IN"/>
        </w:rPr>
        <w:t>. [</w:t>
      </w:r>
      <w:hyperlink r:id="rId16"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numPr>
          <w:ilvl w:val="0"/>
          <w:numId w:val="10"/>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Battery OEM Track Record:</w:t>
      </w:r>
      <w:r w:rsidRPr="006C1075">
        <w:rPr>
          <w:rFonts w:ascii="Arial" w:eastAsia="Times New Roman" w:hAnsi="Arial" w:cs="Arial"/>
          <w:sz w:val="24"/>
          <w:szCs w:val="24"/>
          <w:lang w:eastAsia="en-IN"/>
        </w:rPr>
        <w:t xml:space="preserve"> The proposed sub-vendor/OEM for the battery banks must have a proven technological history—specifically having manufactured and supplied </w:t>
      </w:r>
      <w:r w:rsidRPr="006C1075">
        <w:rPr>
          <w:rFonts w:ascii="Arial" w:eastAsia="Times New Roman" w:hAnsi="Arial" w:cs="Arial"/>
          <w:b/>
          <w:bCs/>
          <w:sz w:val="24"/>
          <w:szCs w:val="24"/>
          <w:lang w:eastAsia="en-IN"/>
        </w:rPr>
        <w:t>at least 50 MWh of stationary battery systems globally</w:t>
      </w:r>
      <w:r w:rsidRPr="006C1075">
        <w:rPr>
          <w:rFonts w:ascii="Arial" w:eastAsia="Times New Roman" w:hAnsi="Arial" w:cs="Arial"/>
          <w:sz w:val="24"/>
          <w:szCs w:val="24"/>
          <w:lang w:eastAsia="en-IN"/>
        </w:rPr>
        <w:t xml:space="preserve"> over the last 3 years. [</w:t>
      </w:r>
      <w:hyperlink r:id="rId17" w:history="1">
        <w:r w:rsidRPr="006C1075">
          <w:rPr>
            <w:rFonts w:ascii="Arial" w:eastAsia="Times New Roman" w:hAnsi="Arial" w:cs="Arial"/>
            <w:color w:val="0000FF"/>
            <w:sz w:val="24"/>
            <w:szCs w:val="24"/>
            <w:u w:val="single"/>
            <w:lang w:eastAsia="en-IN"/>
          </w:rPr>
          <w:t>1</w:t>
        </w:r>
      </w:hyperlink>
      <w:r w:rsidRPr="006C1075">
        <w:rPr>
          <w:rFonts w:ascii="Arial" w:eastAsia="Times New Roman" w:hAnsi="Arial" w:cs="Arial"/>
          <w:sz w:val="24"/>
          <w:szCs w:val="24"/>
          <w:lang w:eastAsia="en-IN"/>
        </w:rPr>
        <w:t>]</w:t>
      </w:r>
    </w:p>
    <w:p w:rsidR="006C1075" w:rsidRPr="006C1075" w:rsidRDefault="006C1075" w:rsidP="006C1075">
      <w:pPr>
        <w:numPr>
          <w:ilvl w:val="0"/>
          <w:numId w:val="10"/>
        </w:numPr>
        <w:spacing w:after="0" w:line="360" w:lineRule="auto"/>
        <w:ind w:left="0"/>
        <w:rPr>
          <w:rFonts w:ascii="Arial" w:eastAsia="Times New Roman" w:hAnsi="Arial" w:cs="Arial"/>
          <w:sz w:val="24"/>
          <w:szCs w:val="24"/>
          <w:lang w:eastAsia="en-IN"/>
        </w:rPr>
      </w:pPr>
      <w:r w:rsidRPr="006C1075">
        <w:rPr>
          <w:rFonts w:ascii="Arial" w:eastAsia="Times New Roman" w:hAnsi="Arial" w:cs="Arial"/>
          <w:b/>
          <w:bCs/>
          <w:sz w:val="24"/>
          <w:szCs w:val="24"/>
          <w:lang w:eastAsia="en-IN"/>
        </w:rPr>
        <w:t>EMS Indigenous Code Compliance:</w:t>
      </w:r>
      <w:r w:rsidRPr="006C1075">
        <w:rPr>
          <w:rFonts w:ascii="Arial" w:eastAsia="Times New Roman" w:hAnsi="Arial" w:cs="Arial"/>
          <w:sz w:val="24"/>
          <w:szCs w:val="24"/>
          <w:lang w:eastAsia="en-IN"/>
        </w:rPr>
        <w:t xml:space="preserve"> To protect the national power grid from cyber security threats, the application layer software for the </w:t>
      </w:r>
      <w:r w:rsidRPr="006C1075">
        <w:rPr>
          <w:rFonts w:ascii="Arial" w:eastAsia="Times New Roman" w:hAnsi="Arial" w:cs="Arial"/>
          <w:b/>
          <w:bCs/>
          <w:sz w:val="24"/>
          <w:szCs w:val="24"/>
          <w:lang w:eastAsia="en-IN"/>
        </w:rPr>
        <w:t>Energy Management System (EMS) must be developed indigenously within India</w:t>
      </w:r>
      <w:r w:rsidRPr="006C1075">
        <w:rPr>
          <w:rFonts w:ascii="Arial" w:eastAsia="Times New Roman" w:hAnsi="Arial" w:cs="Arial"/>
          <w:sz w:val="24"/>
          <w:szCs w:val="24"/>
          <w:lang w:eastAsia="en-IN"/>
        </w:rPr>
        <w:t xml:space="preserve"> (Technical ... p. 3).</w:t>
      </w:r>
    </w:p>
    <w:p w:rsidR="006C1075" w:rsidRPr="006C1075" w:rsidRDefault="006C1075" w:rsidP="006C1075">
      <w:pPr>
        <w:spacing w:before="480" w:after="480" w:line="360" w:lineRule="auto"/>
        <w:rPr>
          <w:rFonts w:ascii="Times New Roman" w:eastAsia="Times New Roman" w:hAnsi="Times New Roman" w:cs="Times New Roman"/>
          <w:sz w:val="24"/>
          <w:szCs w:val="24"/>
          <w:lang w:eastAsia="en-IN"/>
        </w:rPr>
      </w:pPr>
      <w:r w:rsidRPr="006C1075">
        <w:rPr>
          <w:rFonts w:ascii="Times New Roman" w:eastAsia="Times New Roman" w:hAnsi="Times New Roman" w:cs="Times New Roman"/>
          <w:sz w:val="24"/>
          <w:szCs w:val="24"/>
          <w:lang w:eastAsia="en-IN"/>
        </w:rPr>
        <w:pict>
          <v:rect id="_x0000_i1163" style="width:0;height:1.5pt" o:hralign="center" o:hrstd="t" o:hr="t" fillcolor="#a0a0a0" stroked="f"/>
        </w:pict>
      </w:r>
    </w:p>
    <w:p w:rsidR="006C1075" w:rsidRDefault="006C1075" w:rsidP="006C1075">
      <w:pPr>
        <w:spacing w:line="360" w:lineRule="auto"/>
        <w:ind w:left="-426"/>
        <w:jc w:val="both"/>
      </w:pPr>
    </w:p>
    <w:sectPr w:rsidR="006C1075" w:rsidSect="006C1075">
      <w:pgSz w:w="11906" w:h="16838"/>
      <w:pgMar w:top="1440" w:right="56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05A08"/>
    <w:multiLevelType w:val="multilevel"/>
    <w:tmpl w:val="6F86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72AF"/>
    <w:multiLevelType w:val="multilevel"/>
    <w:tmpl w:val="E5E2C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55668"/>
    <w:multiLevelType w:val="multilevel"/>
    <w:tmpl w:val="1B42F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443DC"/>
    <w:multiLevelType w:val="multilevel"/>
    <w:tmpl w:val="37C00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06770"/>
    <w:multiLevelType w:val="multilevel"/>
    <w:tmpl w:val="E196E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F7398C"/>
    <w:multiLevelType w:val="multilevel"/>
    <w:tmpl w:val="D8FCB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7673B"/>
    <w:multiLevelType w:val="multilevel"/>
    <w:tmpl w:val="0AA8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C01E9F"/>
    <w:multiLevelType w:val="multilevel"/>
    <w:tmpl w:val="C3C8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C66A2"/>
    <w:multiLevelType w:val="multilevel"/>
    <w:tmpl w:val="39E8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B47A8C"/>
    <w:multiLevelType w:val="multilevel"/>
    <w:tmpl w:val="2A10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9"/>
  </w:num>
  <w:num w:numId="4">
    <w:abstractNumId w:val="8"/>
  </w:num>
  <w:num w:numId="5">
    <w:abstractNumId w:val="6"/>
  </w:num>
  <w:num w:numId="6">
    <w:abstractNumId w:val="5"/>
  </w:num>
  <w:num w:numId="7">
    <w:abstractNumId w:val="4"/>
  </w:num>
  <w:num w:numId="8">
    <w:abstractNumId w:val="2"/>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075"/>
    <w:rsid w:val="006C10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F97571-A213-4453-BC6B-C3E054B0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C1075"/>
    <w:rPr>
      <w:b/>
      <w:bCs/>
    </w:rPr>
  </w:style>
  <w:style w:type="paragraph" w:customStyle="1" w:styleId="z1qcye">
    <w:name w:val="z1qcye"/>
    <w:basedOn w:val="Normal"/>
    <w:rsid w:val="006C107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6C1075"/>
  </w:style>
  <w:style w:type="character" w:styleId="Emphasis">
    <w:name w:val="Emphasis"/>
    <w:basedOn w:val="DefaultParagraphFont"/>
    <w:uiPriority w:val="20"/>
    <w:qFormat/>
    <w:rsid w:val="006C1075"/>
    <w:rPr>
      <w:i/>
      <w:iCs/>
    </w:rPr>
  </w:style>
  <w:style w:type="character" w:styleId="HTMLCode">
    <w:name w:val="HTML Code"/>
    <w:basedOn w:val="DefaultParagraphFont"/>
    <w:uiPriority w:val="99"/>
    <w:semiHidden/>
    <w:unhideWhenUsed/>
    <w:rsid w:val="006C1075"/>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C10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490099">
      <w:bodyDiv w:val="1"/>
      <w:marLeft w:val="0"/>
      <w:marRight w:val="0"/>
      <w:marTop w:val="0"/>
      <w:marBottom w:val="0"/>
      <w:divBdr>
        <w:top w:val="none" w:sz="0" w:space="0" w:color="auto"/>
        <w:left w:val="none" w:sz="0" w:space="0" w:color="auto"/>
        <w:bottom w:val="none" w:sz="0" w:space="0" w:color="auto"/>
        <w:right w:val="none" w:sz="0" w:space="0" w:color="auto"/>
      </w:divBdr>
      <w:divsChild>
        <w:div w:id="1411729711">
          <w:marLeft w:val="0"/>
          <w:marRight w:val="0"/>
          <w:marTop w:val="360"/>
          <w:marBottom w:val="180"/>
          <w:divBdr>
            <w:top w:val="none" w:sz="0" w:space="0" w:color="auto"/>
            <w:left w:val="none" w:sz="0" w:space="0" w:color="auto"/>
            <w:bottom w:val="none" w:sz="0" w:space="0" w:color="auto"/>
            <w:right w:val="none" w:sz="0" w:space="0" w:color="auto"/>
          </w:divBdr>
        </w:div>
        <w:div w:id="494344501">
          <w:marLeft w:val="0"/>
          <w:marRight w:val="0"/>
          <w:marTop w:val="180"/>
          <w:marBottom w:val="240"/>
          <w:divBdr>
            <w:top w:val="none" w:sz="0" w:space="0" w:color="auto"/>
            <w:left w:val="none" w:sz="0" w:space="0" w:color="auto"/>
            <w:bottom w:val="none" w:sz="0" w:space="0" w:color="auto"/>
            <w:right w:val="none" w:sz="0" w:space="0" w:color="auto"/>
          </w:divBdr>
        </w:div>
        <w:div w:id="1222058897">
          <w:marLeft w:val="0"/>
          <w:marRight w:val="0"/>
          <w:marTop w:val="360"/>
          <w:marBottom w:val="180"/>
          <w:divBdr>
            <w:top w:val="none" w:sz="0" w:space="0" w:color="auto"/>
            <w:left w:val="none" w:sz="0" w:space="0" w:color="auto"/>
            <w:bottom w:val="none" w:sz="0" w:space="0" w:color="auto"/>
            <w:right w:val="none" w:sz="0" w:space="0" w:color="auto"/>
          </w:divBdr>
        </w:div>
        <w:div w:id="78672133">
          <w:marLeft w:val="0"/>
          <w:marRight w:val="0"/>
          <w:marTop w:val="180"/>
          <w:marBottom w:val="240"/>
          <w:divBdr>
            <w:top w:val="none" w:sz="0" w:space="0" w:color="auto"/>
            <w:left w:val="none" w:sz="0" w:space="0" w:color="auto"/>
            <w:bottom w:val="none" w:sz="0" w:space="0" w:color="auto"/>
            <w:right w:val="none" w:sz="0" w:space="0" w:color="auto"/>
          </w:divBdr>
        </w:div>
        <w:div w:id="588805708">
          <w:marLeft w:val="0"/>
          <w:marRight w:val="0"/>
          <w:marTop w:val="360"/>
          <w:marBottom w:val="180"/>
          <w:divBdr>
            <w:top w:val="none" w:sz="0" w:space="0" w:color="auto"/>
            <w:left w:val="none" w:sz="0" w:space="0" w:color="auto"/>
            <w:bottom w:val="none" w:sz="0" w:space="0" w:color="auto"/>
            <w:right w:val="none" w:sz="0" w:space="0" w:color="auto"/>
          </w:divBdr>
        </w:div>
      </w:divsChild>
    </w:div>
    <w:div w:id="1970360789">
      <w:bodyDiv w:val="1"/>
      <w:marLeft w:val="0"/>
      <w:marRight w:val="0"/>
      <w:marTop w:val="0"/>
      <w:marBottom w:val="0"/>
      <w:divBdr>
        <w:top w:val="none" w:sz="0" w:space="0" w:color="auto"/>
        <w:left w:val="none" w:sz="0" w:space="0" w:color="auto"/>
        <w:bottom w:val="none" w:sz="0" w:space="0" w:color="auto"/>
        <w:right w:val="none" w:sz="0" w:space="0" w:color="auto"/>
      </w:divBdr>
      <w:divsChild>
        <w:div w:id="1139952901">
          <w:marLeft w:val="0"/>
          <w:marRight w:val="0"/>
          <w:marTop w:val="360"/>
          <w:marBottom w:val="180"/>
          <w:divBdr>
            <w:top w:val="none" w:sz="0" w:space="0" w:color="auto"/>
            <w:left w:val="none" w:sz="0" w:space="0" w:color="auto"/>
            <w:bottom w:val="none" w:sz="0" w:space="0" w:color="auto"/>
            <w:right w:val="none" w:sz="0" w:space="0" w:color="auto"/>
          </w:divBdr>
        </w:div>
        <w:div w:id="1298727725">
          <w:marLeft w:val="0"/>
          <w:marRight w:val="0"/>
          <w:marTop w:val="180"/>
          <w:marBottom w:val="240"/>
          <w:divBdr>
            <w:top w:val="none" w:sz="0" w:space="0" w:color="auto"/>
            <w:left w:val="none" w:sz="0" w:space="0" w:color="auto"/>
            <w:bottom w:val="none" w:sz="0" w:space="0" w:color="auto"/>
            <w:right w:val="none" w:sz="0" w:space="0" w:color="auto"/>
          </w:divBdr>
        </w:div>
        <w:div w:id="1412386128">
          <w:marLeft w:val="0"/>
          <w:marRight w:val="0"/>
          <w:marTop w:val="360"/>
          <w:marBottom w:val="180"/>
          <w:divBdr>
            <w:top w:val="none" w:sz="0" w:space="0" w:color="auto"/>
            <w:left w:val="none" w:sz="0" w:space="0" w:color="auto"/>
            <w:bottom w:val="none" w:sz="0" w:space="0" w:color="auto"/>
            <w:right w:val="none" w:sz="0" w:space="0" w:color="auto"/>
          </w:divBdr>
        </w:div>
        <w:div w:id="1148670845">
          <w:marLeft w:val="0"/>
          <w:marRight w:val="0"/>
          <w:marTop w:val="360"/>
          <w:marBottom w:val="180"/>
          <w:divBdr>
            <w:top w:val="none" w:sz="0" w:space="0" w:color="auto"/>
            <w:left w:val="none" w:sz="0" w:space="0" w:color="auto"/>
            <w:bottom w:val="none" w:sz="0" w:space="0" w:color="auto"/>
            <w:right w:val="none" w:sz="0" w:space="0" w:color="auto"/>
          </w:divBdr>
        </w:div>
        <w:div w:id="254678875">
          <w:marLeft w:val="0"/>
          <w:marRight w:val="0"/>
          <w:marTop w:val="360"/>
          <w:marBottom w:val="180"/>
          <w:divBdr>
            <w:top w:val="none" w:sz="0" w:space="0" w:color="auto"/>
            <w:left w:val="none" w:sz="0" w:space="0" w:color="auto"/>
            <w:bottom w:val="none" w:sz="0" w:space="0" w:color="auto"/>
            <w:right w:val="none" w:sz="0" w:space="0" w:color="auto"/>
          </w:divBdr>
        </w:div>
        <w:div w:id="1857769560">
          <w:marLeft w:val="0"/>
          <w:marRight w:val="0"/>
          <w:marTop w:val="360"/>
          <w:marBottom w:val="180"/>
          <w:divBdr>
            <w:top w:val="none" w:sz="0" w:space="0" w:color="auto"/>
            <w:left w:val="none" w:sz="0" w:space="0" w:color="auto"/>
            <w:bottom w:val="none" w:sz="0" w:space="0" w:color="auto"/>
            <w:right w:val="none" w:sz="0" w:space="0" w:color="auto"/>
          </w:divBdr>
        </w:div>
        <w:div w:id="1448041100">
          <w:marLeft w:val="0"/>
          <w:marRight w:val="0"/>
          <w:marTop w:val="360"/>
          <w:marBottom w:val="180"/>
          <w:divBdr>
            <w:top w:val="none" w:sz="0" w:space="0" w:color="auto"/>
            <w:left w:val="none" w:sz="0" w:space="0" w:color="auto"/>
            <w:bottom w:val="none" w:sz="0" w:space="0" w:color="auto"/>
            <w:right w:val="none" w:sz="0" w:space="0" w:color="auto"/>
          </w:divBdr>
        </w:div>
        <w:div w:id="1879002619">
          <w:marLeft w:val="0"/>
          <w:marRight w:val="0"/>
          <w:marTop w:val="360"/>
          <w:marBottom w:val="180"/>
          <w:divBdr>
            <w:top w:val="none" w:sz="0" w:space="0" w:color="auto"/>
            <w:left w:val="none" w:sz="0" w:space="0" w:color="auto"/>
            <w:bottom w:val="none" w:sz="0" w:space="0" w:color="auto"/>
            <w:right w:val="none" w:sz="0" w:space="0" w:color="auto"/>
          </w:divBdr>
        </w:div>
        <w:div w:id="906114683">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tpctender.ntpc.co.in/Uploads/job_43085.pdf" TargetMode="External"/><Relationship Id="rId13" Type="http://schemas.openxmlformats.org/officeDocument/2006/relationships/hyperlink" Target="https://ntpctender.ntpc.co.in/Uploads/cor_29171_2_1.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tpctender.ntpc.co.in/Uploads/job_45618.pdf" TargetMode="External"/><Relationship Id="rId12" Type="http://schemas.openxmlformats.org/officeDocument/2006/relationships/hyperlink" Target="https://ntpctender.ntpc.co.in/Uploads/job_41383.pdf" TargetMode="External"/><Relationship Id="rId17" Type="http://schemas.openxmlformats.org/officeDocument/2006/relationships/hyperlink" Target="https://ntpctender.ntpc.co.in/Uploads/job_45618.pdf" TargetMode="External"/><Relationship Id="rId2" Type="http://schemas.openxmlformats.org/officeDocument/2006/relationships/styles" Target="styles.xml"/><Relationship Id="rId16" Type="http://schemas.openxmlformats.org/officeDocument/2006/relationships/hyperlink" Target="https://ntpctender.ntpc.co.in/Uploads/job_45087.pdf" TargetMode="External"/><Relationship Id="rId1" Type="http://schemas.openxmlformats.org/officeDocument/2006/relationships/numbering" Target="numbering.xml"/><Relationship Id="rId6" Type="http://schemas.openxmlformats.org/officeDocument/2006/relationships/hyperlink" Target="https://ntpctender.ntpc.co.in/Uploads/job_45618.pdf" TargetMode="External"/><Relationship Id="rId11" Type="http://schemas.openxmlformats.org/officeDocument/2006/relationships/hyperlink" Target="https://ntpctender.ntpc.co.in/Uploads/job_42333.pdf" TargetMode="External"/><Relationship Id="rId5" Type="http://schemas.openxmlformats.org/officeDocument/2006/relationships/hyperlink" Target="https://ntpctender.ntpc.co.in/Uploads/job_45618.pdf" TargetMode="External"/><Relationship Id="rId15" Type="http://schemas.openxmlformats.org/officeDocument/2006/relationships/hyperlink" Target="https://ntpctender.ntpc.co.in/Uploads/job_45087.pdf" TargetMode="External"/><Relationship Id="rId10" Type="http://schemas.openxmlformats.org/officeDocument/2006/relationships/hyperlink" Target="https://ntpctender.ntpc.co.in/Uploads/job_42333.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ntpctender.ntpc.co.in/Uploads/job_43085.pdf" TargetMode="External"/><Relationship Id="rId14" Type="http://schemas.openxmlformats.org/officeDocument/2006/relationships/hyperlink" Target="https://ntpctender.ntpc.co.in/Uploads/job_4138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2316</Words>
  <Characters>13204</Characters>
  <Application>Microsoft Office Word</Application>
  <DocSecurity>0</DocSecurity>
  <Lines>110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 BHAVAN</dc:creator>
  <cp:keywords/>
  <dc:description/>
  <cp:lastModifiedBy>SARAVAN BHAVAN</cp:lastModifiedBy>
  <cp:revision>1</cp:revision>
  <dcterms:created xsi:type="dcterms:W3CDTF">2026-06-25T07:33:00Z</dcterms:created>
  <dcterms:modified xsi:type="dcterms:W3CDTF">2026-06-25T07:36:00Z</dcterms:modified>
</cp:coreProperties>
</file>